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90" w:rsidRDefault="00BE5D4E" w:rsidP="00956490">
      <w:pPr>
        <w:pStyle w:val="Heading1"/>
      </w:pPr>
      <w:r>
        <w:t>ME</w:t>
      </w:r>
      <w:r w:rsidR="00956490">
        <w:t xml:space="preserve">DIA </w:t>
      </w:r>
      <w:r w:rsidR="001B2CF2">
        <w:t>Release</w:t>
      </w:r>
    </w:p>
    <w:p w:rsidR="007A0E37" w:rsidRDefault="00AE5EF2" w:rsidP="007A0E37">
      <w:pPr>
        <w:pStyle w:val="Heading3"/>
      </w:pPr>
      <w:r>
        <w:t>Tuesday 18</w:t>
      </w:r>
      <w:r w:rsidR="00F93C13">
        <w:t xml:space="preserve"> </w:t>
      </w:r>
      <w:r w:rsidR="002474B4">
        <w:t>October</w:t>
      </w:r>
      <w:r w:rsidR="00F93C13">
        <w:t xml:space="preserve"> 2016</w:t>
      </w:r>
    </w:p>
    <w:p w:rsidR="00F93C13" w:rsidRPr="007A0E37" w:rsidRDefault="00956490" w:rsidP="007A0E37">
      <w:pPr>
        <w:pStyle w:val="Heading3"/>
        <w:rPr>
          <w:color w:val="auto"/>
          <w:sz w:val="28"/>
          <w:szCs w:val="28"/>
        </w:rPr>
      </w:pPr>
      <w:r w:rsidRPr="004B3A8E">
        <w:rPr>
          <w:sz w:val="4"/>
        </w:rPr>
        <w:br/>
      </w:r>
      <w:r w:rsidR="00AE1DB5">
        <w:rPr>
          <w:color w:val="auto"/>
          <w:sz w:val="28"/>
          <w:szCs w:val="28"/>
        </w:rPr>
        <w:t xml:space="preserve">2015-16 </w:t>
      </w:r>
      <w:r w:rsidR="001A10B8">
        <w:rPr>
          <w:color w:val="auto"/>
          <w:sz w:val="28"/>
          <w:szCs w:val="28"/>
        </w:rPr>
        <w:t>Australia Council for the Arts Annual Report</w:t>
      </w:r>
      <w:r w:rsidR="00A164F0">
        <w:rPr>
          <w:color w:val="auto"/>
          <w:sz w:val="28"/>
          <w:szCs w:val="28"/>
        </w:rPr>
        <w:t xml:space="preserve"> </w:t>
      </w:r>
    </w:p>
    <w:p w:rsidR="00F93C13" w:rsidRPr="006315C3" w:rsidRDefault="009339A0" w:rsidP="00AF7B30">
      <w:pPr>
        <w:autoSpaceDE w:val="0"/>
        <w:autoSpaceDN w:val="0"/>
        <w:adjustRightInd w:val="0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The </w:t>
      </w:r>
      <w:r w:rsidR="00053314" w:rsidRPr="006315C3">
        <w:rPr>
          <w:rFonts w:cstheme="minorHAnsi"/>
          <w:color w:val="808080" w:themeColor="background1" w:themeShade="80"/>
          <w:sz w:val="22"/>
          <w:szCs w:val="22"/>
        </w:rPr>
        <w:t xml:space="preserve">2015-16 </w:t>
      </w:r>
      <w:r w:rsidR="00AE1DB5" w:rsidRPr="006315C3">
        <w:rPr>
          <w:rFonts w:cstheme="minorHAnsi"/>
          <w:color w:val="808080" w:themeColor="background1" w:themeShade="80"/>
          <w:sz w:val="22"/>
          <w:szCs w:val="22"/>
        </w:rPr>
        <w:t xml:space="preserve">Australia Council for the Arts </w:t>
      </w:r>
      <w:r w:rsidR="00053314" w:rsidRPr="006315C3">
        <w:rPr>
          <w:rFonts w:cstheme="minorHAnsi"/>
          <w:color w:val="808080" w:themeColor="background1" w:themeShade="80"/>
          <w:sz w:val="22"/>
          <w:szCs w:val="22"/>
        </w:rPr>
        <w:t xml:space="preserve">Annual Report </w:t>
      </w:r>
      <w:r w:rsidR="00DC0A56">
        <w:rPr>
          <w:rFonts w:cstheme="minorHAnsi"/>
          <w:color w:val="808080" w:themeColor="background1" w:themeShade="80"/>
          <w:sz w:val="22"/>
          <w:szCs w:val="22"/>
        </w:rPr>
        <w:t>has been</w:t>
      </w:r>
      <w:r w:rsidR="00AE1DB5" w:rsidRPr="006315C3">
        <w:rPr>
          <w:rFonts w:cstheme="minorHAnsi"/>
          <w:color w:val="808080" w:themeColor="background1" w:themeShade="80"/>
          <w:sz w:val="22"/>
          <w:szCs w:val="22"/>
        </w:rPr>
        <w:t xml:space="preserve"> tabled in </w:t>
      </w:r>
      <w:r w:rsidR="006C6147" w:rsidRPr="006315C3">
        <w:rPr>
          <w:rFonts w:cstheme="minorHAnsi"/>
          <w:color w:val="808080" w:themeColor="background1" w:themeShade="80"/>
          <w:sz w:val="22"/>
          <w:szCs w:val="22"/>
        </w:rPr>
        <w:t xml:space="preserve">the Federal </w:t>
      </w:r>
      <w:r w:rsidR="00DC0A56">
        <w:rPr>
          <w:rFonts w:cstheme="minorHAnsi"/>
          <w:color w:val="808080" w:themeColor="background1" w:themeShade="80"/>
          <w:sz w:val="22"/>
          <w:szCs w:val="22"/>
        </w:rPr>
        <w:t>Parliament</w:t>
      </w:r>
      <w:r w:rsidR="00AE1DB5" w:rsidRPr="006315C3">
        <w:rPr>
          <w:rFonts w:cstheme="minorHAnsi"/>
          <w:color w:val="808080" w:themeColor="background1" w:themeShade="80"/>
          <w:sz w:val="22"/>
          <w:szCs w:val="22"/>
        </w:rPr>
        <w:t>. It</w:t>
      </w:r>
      <w:r w:rsidR="00053314" w:rsidRPr="006315C3">
        <w:rPr>
          <w:rFonts w:cstheme="minorHAnsi"/>
          <w:color w:val="808080" w:themeColor="background1" w:themeShade="80"/>
          <w:sz w:val="22"/>
          <w:szCs w:val="22"/>
        </w:rPr>
        <w:t xml:space="preserve"> delivers the first full year of activity under its Strategic Plan, </w:t>
      </w:r>
      <w:r w:rsidR="00053314" w:rsidRPr="006315C3">
        <w:rPr>
          <w:rFonts w:cstheme="minorHAnsi"/>
          <w:i/>
          <w:color w:val="808080" w:themeColor="background1" w:themeShade="80"/>
          <w:sz w:val="22"/>
          <w:szCs w:val="22"/>
        </w:rPr>
        <w:t>A Culturally Ambitious Nation</w:t>
      </w:r>
      <w:r w:rsidR="00AE1DB5" w:rsidRPr="006315C3">
        <w:rPr>
          <w:rFonts w:cstheme="minorHAnsi"/>
          <w:i/>
          <w:color w:val="808080" w:themeColor="background1" w:themeShade="80"/>
          <w:sz w:val="22"/>
          <w:szCs w:val="22"/>
        </w:rPr>
        <w:t xml:space="preserve"> </w:t>
      </w:r>
      <w:r w:rsidR="00AE1DB5" w:rsidRPr="006315C3">
        <w:rPr>
          <w:rFonts w:cstheme="minorHAnsi"/>
          <w:color w:val="808080" w:themeColor="background1" w:themeShade="80"/>
          <w:sz w:val="22"/>
          <w:szCs w:val="22"/>
        </w:rPr>
        <w:t xml:space="preserve">and </w:t>
      </w:r>
      <w:r w:rsidR="00053314" w:rsidRPr="006315C3">
        <w:rPr>
          <w:rFonts w:cstheme="minorHAnsi"/>
          <w:color w:val="808080" w:themeColor="background1" w:themeShade="80"/>
          <w:sz w:val="22"/>
          <w:szCs w:val="22"/>
        </w:rPr>
        <w:t xml:space="preserve">provides details of a significant and challenging </w:t>
      </w:r>
      <w:r w:rsidR="00AB629A" w:rsidRPr="006315C3">
        <w:rPr>
          <w:rFonts w:cstheme="minorHAnsi"/>
          <w:color w:val="808080" w:themeColor="background1" w:themeShade="80"/>
          <w:sz w:val="22"/>
          <w:szCs w:val="22"/>
        </w:rPr>
        <w:t>year for the Council</w:t>
      </w:r>
      <w:r w:rsidR="00AE1DB5" w:rsidRPr="006315C3">
        <w:rPr>
          <w:rFonts w:cstheme="minorHAnsi"/>
          <w:color w:val="808080" w:themeColor="background1" w:themeShade="80"/>
          <w:sz w:val="22"/>
          <w:szCs w:val="22"/>
        </w:rPr>
        <w:t>.</w:t>
      </w:r>
    </w:p>
    <w:p w:rsidR="00AB629A" w:rsidRPr="006315C3" w:rsidRDefault="00AB629A" w:rsidP="00CB33E9">
      <w:pPr>
        <w:pStyle w:val="BodyText"/>
        <w:rPr>
          <w:rFonts w:cstheme="minorHAnsi"/>
          <w:sz w:val="21"/>
          <w:szCs w:val="21"/>
        </w:rPr>
      </w:pPr>
      <w:r w:rsidRPr="006315C3">
        <w:rPr>
          <w:rFonts w:cstheme="minorHAnsi"/>
          <w:sz w:val="21"/>
          <w:szCs w:val="21"/>
        </w:rPr>
        <w:t>Austra</w:t>
      </w:r>
      <w:r w:rsidR="00CF7DA4" w:rsidRPr="006315C3">
        <w:rPr>
          <w:rFonts w:cstheme="minorHAnsi"/>
          <w:sz w:val="21"/>
          <w:szCs w:val="21"/>
        </w:rPr>
        <w:t>lia Council Chair Rupert Myer AO</w:t>
      </w:r>
      <w:r w:rsidRPr="006315C3">
        <w:rPr>
          <w:rFonts w:cstheme="minorHAnsi"/>
          <w:sz w:val="21"/>
          <w:szCs w:val="21"/>
        </w:rPr>
        <w:t xml:space="preserve"> said </w:t>
      </w:r>
      <w:r w:rsidR="00FD7D6E" w:rsidRPr="006315C3">
        <w:rPr>
          <w:rFonts w:cstheme="minorHAnsi"/>
          <w:sz w:val="21"/>
          <w:szCs w:val="21"/>
        </w:rPr>
        <w:t xml:space="preserve">the Council </w:t>
      </w:r>
      <w:r w:rsidR="006142C3">
        <w:rPr>
          <w:rFonts w:cstheme="minorHAnsi"/>
          <w:sz w:val="21"/>
          <w:szCs w:val="21"/>
        </w:rPr>
        <w:t>had</w:t>
      </w:r>
      <w:r w:rsidR="009339A0">
        <w:rPr>
          <w:rFonts w:cstheme="minorHAnsi"/>
          <w:sz w:val="21"/>
          <w:szCs w:val="21"/>
        </w:rPr>
        <w:t xml:space="preserve"> supported a</w:t>
      </w:r>
      <w:r w:rsidR="007178FA">
        <w:rPr>
          <w:rFonts w:cstheme="minorHAnsi"/>
          <w:sz w:val="21"/>
          <w:szCs w:val="21"/>
        </w:rPr>
        <w:t>n extraordinarily</w:t>
      </w:r>
      <w:r w:rsidR="009339A0">
        <w:rPr>
          <w:rFonts w:cstheme="minorHAnsi"/>
          <w:sz w:val="21"/>
          <w:szCs w:val="21"/>
        </w:rPr>
        <w:t xml:space="preserve"> diverse </w:t>
      </w:r>
      <w:r w:rsidR="0061553F">
        <w:rPr>
          <w:rFonts w:cstheme="minorHAnsi"/>
          <w:sz w:val="21"/>
          <w:szCs w:val="21"/>
        </w:rPr>
        <w:t xml:space="preserve">and thought-provoking </w:t>
      </w:r>
      <w:r w:rsidR="009339A0">
        <w:rPr>
          <w:rFonts w:cstheme="minorHAnsi"/>
          <w:sz w:val="21"/>
          <w:szCs w:val="21"/>
        </w:rPr>
        <w:t xml:space="preserve">range of </w:t>
      </w:r>
      <w:r w:rsidR="007178FA">
        <w:rPr>
          <w:rFonts w:cstheme="minorHAnsi"/>
          <w:sz w:val="21"/>
          <w:szCs w:val="21"/>
        </w:rPr>
        <w:t xml:space="preserve">artistic </w:t>
      </w:r>
      <w:r w:rsidR="009339A0">
        <w:rPr>
          <w:rFonts w:cstheme="minorHAnsi"/>
          <w:sz w:val="21"/>
          <w:szCs w:val="21"/>
        </w:rPr>
        <w:t>projects</w:t>
      </w:r>
      <w:r w:rsidR="007178FA">
        <w:rPr>
          <w:rFonts w:cstheme="minorHAnsi"/>
          <w:sz w:val="21"/>
          <w:szCs w:val="21"/>
        </w:rPr>
        <w:t xml:space="preserve"> </w:t>
      </w:r>
      <w:r w:rsidR="0002144D">
        <w:rPr>
          <w:rFonts w:cstheme="minorHAnsi"/>
          <w:sz w:val="21"/>
          <w:szCs w:val="21"/>
        </w:rPr>
        <w:t xml:space="preserve">during 2015-16, </w:t>
      </w:r>
      <w:r w:rsidR="007178FA">
        <w:rPr>
          <w:rFonts w:cstheme="minorHAnsi"/>
          <w:sz w:val="21"/>
          <w:szCs w:val="21"/>
        </w:rPr>
        <w:t xml:space="preserve">through </w:t>
      </w:r>
      <w:r w:rsidR="00B4269E">
        <w:rPr>
          <w:rFonts w:cstheme="minorHAnsi"/>
          <w:sz w:val="21"/>
          <w:szCs w:val="21"/>
        </w:rPr>
        <w:t xml:space="preserve">grants and strategic </w:t>
      </w:r>
      <w:r w:rsidR="0061553F">
        <w:rPr>
          <w:rFonts w:cstheme="minorHAnsi"/>
          <w:sz w:val="21"/>
          <w:szCs w:val="21"/>
        </w:rPr>
        <w:t>initiatives</w:t>
      </w:r>
      <w:r w:rsidR="00B4269E">
        <w:rPr>
          <w:rFonts w:cstheme="minorHAnsi"/>
          <w:sz w:val="21"/>
          <w:szCs w:val="21"/>
        </w:rPr>
        <w:t xml:space="preserve"> for</w:t>
      </w:r>
      <w:r w:rsidR="0002144D">
        <w:rPr>
          <w:rFonts w:cstheme="minorHAnsi"/>
          <w:sz w:val="21"/>
          <w:szCs w:val="21"/>
        </w:rPr>
        <w:t xml:space="preserve"> </w:t>
      </w:r>
      <w:r w:rsidR="007178FA">
        <w:rPr>
          <w:rFonts w:cstheme="minorHAnsi"/>
          <w:sz w:val="21"/>
          <w:szCs w:val="21"/>
        </w:rPr>
        <w:t>716 individual artists and 650 arts organisations</w:t>
      </w:r>
      <w:r w:rsidR="00CA7D11" w:rsidRPr="006315C3">
        <w:rPr>
          <w:rFonts w:cstheme="minorHAnsi"/>
          <w:sz w:val="21"/>
          <w:szCs w:val="21"/>
        </w:rPr>
        <w:t>.</w:t>
      </w:r>
    </w:p>
    <w:p w:rsidR="00EB1CBE" w:rsidRPr="006315C3" w:rsidRDefault="009339A0" w:rsidP="00CB33E9">
      <w:pPr>
        <w:pStyle w:val="BodyTex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In the Report Mr Myer said that t</w:t>
      </w:r>
      <w:r w:rsidR="00EB1CBE" w:rsidRPr="006315C3">
        <w:rPr>
          <w:rFonts w:cstheme="minorHAnsi"/>
          <w:sz w:val="21"/>
          <w:szCs w:val="21"/>
        </w:rPr>
        <w:t xml:space="preserve">he Australia Council </w:t>
      </w:r>
      <w:r>
        <w:rPr>
          <w:rFonts w:cstheme="minorHAnsi"/>
          <w:sz w:val="21"/>
          <w:szCs w:val="21"/>
        </w:rPr>
        <w:t xml:space="preserve">had </w:t>
      </w:r>
      <w:r w:rsidR="00EB1CBE" w:rsidRPr="006315C3">
        <w:rPr>
          <w:rFonts w:cstheme="minorHAnsi"/>
          <w:sz w:val="21"/>
          <w:szCs w:val="21"/>
        </w:rPr>
        <w:t xml:space="preserve">focused on maximising all available resources and invested nearly 90 per cent of </w:t>
      </w:r>
      <w:r>
        <w:rPr>
          <w:rFonts w:cstheme="minorHAnsi"/>
          <w:sz w:val="21"/>
          <w:szCs w:val="21"/>
        </w:rPr>
        <w:t>the</w:t>
      </w:r>
      <w:r w:rsidR="00EB1CBE" w:rsidRPr="006315C3">
        <w:rPr>
          <w:rFonts w:cstheme="minorHAnsi"/>
          <w:sz w:val="21"/>
          <w:szCs w:val="21"/>
        </w:rPr>
        <w:t xml:space="preserve"> budget directly into the arts sector, with the remaining funds supporting the sector through strategic advice, specialist knowledge and</w:t>
      </w:r>
      <w:r>
        <w:rPr>
          <w:rFonts w:cstheme="minorHAnsi"/>
          <w:sz w:val="21"/>
          <w:szCs w:val="21"/>
        </w:rPr>
        <w:t xml:space="preserve"> high quality program delivery</w:t>
      </w:r>
      <w:r w:rsidR="00EB1CBE" w:rsidRPr="006315C3">
        <w:rPr>
          <w:rFonts w:cstheme="minorHAnsi"/>
          <w:sz w:val="21"/>
          <w:szCs w:val="21"/>
        </w:rPr>
        <w:t>.</w:t>
      </w:r>
    </w:p>
    <w:p w:rsidR="00EB1CBE" w:rsidRPr="006315C3" w:rsidRDefault="00AA538D" w:rsidP="006C6147">
      <w:pPr>
        <w:pStyle w:val="BodyText"/>
        <w:rPr>
          <w:sz w:val="21"/>
          <w:szCs w:val="21"/>
        </w:rPr>
      </w:pPr>
      <w:r w:rsidRPr="006315C3">
        <w:rPr>
          <w:sz w:val="21"/>
          <w:szCs w:val="21"/>
        </w:rPr>
        <w:t>“Although the Australia Council is the</w:t>
      </w:r>
      <w:r w:rsidR="007D1F86">
        <w:rPr>
          <w:sz w:val="21"/>
          <w:szCs w:val="21"/>
        </w:rPr>
        <w:t xml:space="preserve"> principal</w:t>
      </w:r>
      <w:r w:rsidRPr="006315C3">
        <w:rPr>
          <w:sz w:val="21"/>
          <w:szCs w:val="21"/>
        </w:rPr>
        <w:t xml:space="preserve"> distributor of Commonwealth funding to the arts, we see our </w:t>
      </w:r>
      <w:r w:rsidR="00EB1CBE" w:rsidRPr="006315C3">
        <w:rPr>
          <w:sz w:val="21"/>
          <w:szCs w:val="21"/>
        </w:rPr>
        <w:t>approach</w:t>
      </w:r>
      <w:r w:rsidRPr="006315C3">
        <w:rPr>
          <w:sz w:val="21"/>
          <w:szCs w:val="21"/>
        </w:rPr>
        <w:t xml:space="preserve"> broadly as a key advocate for, and an investor in, Australia’s artistic and cultural future and our agenda </w:t>
      </w:r>
      <w:r w:rsidR="007509C1" w:rsidRPr="006315C3">
        <w:rPr>
          <w:sz w:val="21"/>
          <w:szCs w:val="21"/>
        </w:rPr>
        <w:t>includes</w:t>
      </w:r>
      <w:r w:rsidRPr="006315C3">
        <w:rPr>
          <w:sz w:val="21"/>
          <w:szCs w:val="21"/>
        </w:rPr>
        <w:t xml:space="preserve"> supporting arts organisations to respond to the very challenging economic and social environment by generating new p</w:t>
      </w:r>
      <w:r w:rsidR="006C6147" w:rsidRPr="006315C3">
        <w:rPr>
          <w:sz w:val="21"/>
          <w:szCs w:val="21"/>
        </w:rPr>
        <w:t>athways and new business models</w:t>
      </w:r>
      <w:r w:rsidR="009339A0">
        <w:rPr>
          <w:sz w:val="21"/>
          <w:szCs w:val="21"/>
        </w:rPr>
        <w:t>,</w:t>
      </w:r>
      <w:r w:rsidR="00CA7D11" w:rsidRPr="006315C3">
        <w:rPr>
          <w:sz w:val="21"/>
          <w:szCs w:val="21"/>
        </w:rPr>
        <w:t>”</w:t>
      </w:r>
      <w:r w:rsidR="009339A0">
        <w:rPr>
          <w:sz w:val="21"/>
          <w:szCs w:val="21"/>
        </w:rPr>
        <w:t xml:space="preserve"> Mr Myer said.</w:t>
      </w:r>
    </w:p>
    <w:p w:rsidR="0007118C" w:rsidRPr="006315C3" w:rsidRDefault="00CA7D11" w:rsidP="0007118C">
      <w:pPr>
        <w:pStyle w:val="BodyText"/>
        <w:rPr>
          <w:sz w:val="21"/>
          <w:szCs w:val="21"/>
        </w:rPr>
      </w:pPr>
      <w:r w:rsidRPr="006315C3">
        <w:rPr>
          <w:sz w:val="21"/>
          <w:szCs w:val="21"/>
        </w:rPr>
        <w:t>CEO</w:t>
      </w:r>
      <w:r w:rsidR="006C6147" w:rsidRPr="006315C3">
        <w:rPr>
          <w:sz w:val="21"/>
          <w:szCs w:val="21"/>
        </w:rPr>
        <w:t xml:space="preserve"> Tony Grybowski said </w:t>
      </w:r>
      <w:r w:rsidR="0007118C" w:rsidRPr="006315C3">
        <w:rPr>
          <w:sz w:val="21"/>
          <w:szCs w:val="21"/>
        </w:rPr>
        <w:t xml:space="preserve">2015-16 saw an unprecedented level of </w:t>
      </w:r>
      <w:r w:rsidR="0099643F">
        <w:rPr>
          <w:sz w:val="21"/>
          <w:szCs w:val="21"/>
        </w:rPr>
        <w:t>transformation</w:t>
      </w:r>
      <w:r w:rsidR="0099643F" w:rsidRPr="006315C3">
        <w:rPr>
          <w:sz w:val="21"/>
          <w:szCs w:val="21"/>
        </w:rPr>
        <w:t xml:space="preserve"> </w:t>
      </w:r>
      <w:r w:rsidR="0007118C" w:rsidRPr="006315C3">
        <w:rPr>
          <w:sz w:val="21"/>
          <w:szCs w:val="21"/>
        </w:rPr>
        <w:t>in the</w:t>
      </w:r>
      <w:r w:rsidR="00F65484">
        <w:rPr>
          <w:sz w:val="21"/>
          <w:szCs w:val="21"/>
        </w:rPr>
        <w:t xml:space="preserve"> national arts landscape </w:t>
      </w:r>
      <w:r w:rsidR="00F71BD0">
        <w:rPr>
          <w:sz w:val="21"/>
          <w:szCs w:val="21"/>
        </w:rPr>
        <w:t xml:space="preserve">just </w:t>
      </w:r>
      <w:r w:rsidR="00CC34FE">
        <w:rPr>
          <w:sz w:val="21"/>
          <w:szCs w:val="21"/>
        </w:rPr>
        <w:t xml:space="preserve">as </w:t>
      </w:r>
      <w:r w:rsidR="00F65484">
        <w:rPr>
          <w:sz w:val="21"/>
          <w:szCs w:val="21"/>
        </w:rPr>
        <w:t>the Australia Council’s</w:t>
      </w:r>
      <w:r w:rsidR="0007118C" w:rsidRPr="006315C3">
        <w:rPr>
          <w:sz w:val="21"/>
          <w:szCs w:val="21"/>
        </w:rPr>
        <w:t xml:space="preserve"> </w:t>
      </w:r>
      <w:r w:rsidR="00CC34FE">
        <w:rPr>
          <w:sz w:val="21"/>
          <w:szCs w:val="21"/>
        </w:rPr>
        <w:t xml:space="preserve">new </w:t>
      </w:r>
      <w:r w:rsidR="0007118C" w:rsidRPr="006315C3">
        <w:rPr>
          <w:sz w:val="21"/>
          <w:szCs w:val="21"/>
        </w:rPr>
        <w:t xml:space="preserve">strategy </w:t>
      </w:r>
      <w:r w:rsidR="00CC34FE">
        <w:rPr>
          <w:sz w:val="21"/>
          <w:szCs w:val="21"/>
        </w:rPr>
        <w:t>and</w:t>
      </w:r>
      <w:r w:rsidR="0007118C" w:rsidRPr="006315C3">
        <w:rPr>
          <w:sz w:val="21"/>
          <w:szCs w:val="21"/>
        </w:rPr>
        <w:t xml:space="preserve"> reform</w:t>
      </w:r>
      <w:r w:rsidR="00CC34FE">
        <w:rPr>
          <w:sz w:val="21"/>
          <w:szCs w:val="21"/>
        </w:rPr>
        <w:t>ed grants model</w:t>
      </w:r>
      <w:r w:rsidR="0007118C" w:rsidRPr="006315C3">
        <w:rPr>
          <w:sz w:val="21"/>
          <w:szCs w:val="21"/>
        </w:rPr>
        <w:t xml:space="preserve"> </w:t>
      </w:r>
      <w:r w:rsidR="00F71BD0">
        <w:rPr>
          <w:sz w:val="21"/>
          <w:szCs w:val="21"/>
        </w:rPr>
        <w:t>were</w:t>
      </w:r>
      <w:r w:rsidR="00CC34FE">
        <w:rPr>
          <w:sz w:val="21"/>
          <w:szCs w:val="21"/>
        </w:rPr>
        <w:t xml:space="preserve"> implemented</w:t>
      </w:r>
      <w:r w:rsidR="00F71BD0">
        <w:rPr>
          <w:sz w:val="21"/>
          <w:szCs w:val="21"/>
        </w:rPr>
        <w:t xml:space="preserve">, and </w:t>
      </w:r>
      <w:bookmarkStart w:id="0" w:name="_GoBack"/>
      <w:bookmarkEnd w:id="0"/>
      <w:r w:rsidR="00F71BD0">
        <w:rPr>
          <w:sz w:val="21"/>
          <w:szCs w:val="21"/>
        </w:rPr>
        <w:t xml:space="preserve">there had been remarkable achievements by Australian artists in </w:t>
      </w:r>
      <w:r w:rsidR="0099643F">
        <w:rPr>
          <w:sz w:val="21"/>
          <w:szCs w:val="21"/>
        </w:rPr>
        <w:t xml:space="preserve">a changing and dynamic </w:t>
      </w:r>
      <w:r w:rsidR="00F71BD0">
        <w:rPr>
          <w:sz w:val="21"/>
          <w:szCs w:val="21"/>
        </w:rPr>
        <w:t>environment.</w:t>
      </w:r>
    </w:p>
    <w:p w:rsidR="00AE1DB5" w:rsidRPr="006315C3" w:rsidRDefault="0010310B" w:rsidP="006C6147">
      <w:pPr>
        <w:pStyle w:val="BodyText"/>
        <w:rPr>
          <w:sz w:val="21"/>
          <w:szCs w:val="21"/>
        </w:rPr>
      </w:pPr>
      <w:r w:rsidRPr="006315C3">
        <w:rPr>
          <w:sz w:val="21"/>
          <w:szCs w:val="21"/>
        </w:rPr>
        <w:t>“The</w:t>
      </w:r>
      <w:r w:rsidR="00F65484">
        <w:rPr>
          <w:sz w:val="21"/>
          <w:szCs w:val="21"/>
        </w:rPr>
        <w:t xml:space="preserve"> </w:t>
      </w:r>
      <w:r w:rsidRPr="006315C3">
        <w:rPr>
          <w:sz w:val="21"/>
          <w:szCs w:val="21"/>
        </w:rPr>
        <w:t>Council</w:t>
      </w:r>
      <w:r w:rsidR="00A87FFE" w:rsidRPr="006315C3">
        <w:rPr>
          <w:sz w:val="21"/>
          <w:szCs w:val="21"/>
        </w:rPr>
        <w:t xml:space="preserve"> </w:t>
      </w:r>
      <w:r w:rsidRPr="006315C3">
        <w:rPr>
          <w:sz w:val="21"/>
          <w:szCs w:val="21"/>
        </w:rPr>
        <w:t xml:space="preserve">embraces its national </w:t>
      </w:r>
      <w:r w:rsidR="00C317E6">
        <w:rPr>
          <w:sz w:val="21"/>
          <w:szCs w:val="21"/>
        </w:rPr>
        <w:t>leadership role</w:t>
      </w:r>
      <w:r w:rsidRPr="006315C3">
        <w:rPr>
          <w:sz w:val="21"/>
          <w:szCs w:val="21"/>
        </w:rPr>
        <w:t xml:space="preserve"> and</w:t>
      </w:r>
      <w:r w:rsidR="0007118C" w:rsidRPr="006315C3">
        <w:rPr>
          <w:sz w:val="21"/>
          <w:szCs w:val="21"/>
        </w:rPr>
        <w:t xml:space="preserve"> </w:t>
      </w:r>
      <w:r w:rsidRPr="006315C3">
        <w:rPr>
          <w:sz w:val="21"/>
          <w:szCs w:val="21"/>
        </w:rPr>
        <w:t>take</w:t>
      </w:r>
      <w:r w:rsidR="00F65484">
        <w:rPr>
          <w:sz w:val="21"/>
          <w:szCs w:val="21"/>
        </w:rPr>
        <w:t>s</w:t>
      </w:r>
      <w:r w:rsidR="00A87FFE" w:rsidRPr="006315C3">
        <w:rPr>
          <w:sz w:val="21"/>
          <w:szCs w:val="21"/>
        </w:rPr>
        <w:t xml:space="preserve"> a holistic, evidence-based and long term approach to investing in and championing the arts sector</w:t>
      </w:r>
      <w:r w:rsidR="00CA7D11" w:rsidRPr="006315C3">
        <w:rPr>
          <w:sz w:val="21"/>
          <w:szCs w:val="21"/>
        </w:rPr>
        <w:t xml:space="preserve">,” </w:t>
      </w:r>
      <w:r w:rsidR="006C6147" w:rsidRPr="006315C3">
        <w:rPr>
          <w:sz w:val="21"/>
          <w:szCs w:val="21"/>
        </w:rPr>
        <w:t>Mr Grybowski said.</w:t>
      </w:r>
    </w:p>
    <w:p w:rsidR="007D0C19" w:rsidRPr="0007118C" w:rsidRDefault="00DC36F0" w:rsidP="0007118C">
      <w:pPr>
        <w:pStyle w:val="BodyText"/>
        <w:numPr>
          <w:ilvl w:val="1"/>
          <w:numId w:val="35"/>
        </w:num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07118C">
        <w:rPr>
          <w:sz w:val="21"/>
          <w:szCs w:val="21"/>
        </w:rPr>
        <w:t>A</w:t>
      </w:r>
      <w:r w:rsidR="00726629" w:rsidRPr="0007118C">
        <w:rPr>
          <w:sz w:val="21"/>
          <w:szCs w:val="21"/>
        </w:rPr>
        <w:t xml:space="preserve">nnual Report </w:t>
      </w:r>
      <w:r w:rsidR="00AE1DB5" w:rsidRPr="0007118C">
        <w:rPr>
          <w:sz w:val="21"/>
          <w:szCs w:val="21"/>
        </w:rPr>
        <w:t>summary</w:t>
      </w:r>
      <w:r w:rsidR="00FD7D6E" w:rsidRPr="0007118C">
        <w:rPr>
          <w:sz w:val="21"/>
          <w:szCs w:val="21"/>
        </w:rPr>
        <w:t>:</w:t>
      </w:r>
    </w:p>
    <w:p w:rsidR="00B16CA7" w:rsidRDefault="00726629" w:rsidP="001A0F46">
      <w:pPr>
        <w:pStyle w:val="BodyText"/>
        <w:numPr>
          <w:ilvl w:val="0"/>
          <w:numId w:val="34"/>
        </w:numPr>
        <w:ind w:left="426"/>
        <w:rPr>
          <w:rFonts w:eastAsiaTheme="minorHAnsi"/>
          <w:color w:val="000000"/>
          <w:sz w:val="21"/>
          <w:szCs w:val="21"/>
        </w:rPr>
      </w:pPr>
      <w:r w:rsidRPr="0007118C">
        <w:rPr>
          <w:rFonts w:eastAsiaTheme="minorHAnsi"/>
          <w:color w:val="000000"/>
          <w:sz w:val="21"/>
          <w:szCs w:val="21"/>
        </w:rPr>
        <w:t xml:space="preserve">$173.8 million invested in grants and initiatives for artists and arts organisations ($14.6 million in individual artists and $159.2 million </w:t>
      </w:r>
      <w:r w:rsidR="0007118C">
        <w:rPr>
          <w:rFonts w:eastAsiaTheme="minorHAnsi"/>
          <w:color w:val="000000"/>
          <w:sz w:val="21"/>
          <w:szCs w:val="21"/>
        </w:rPr>
        <w:t xml:space="preserve">in arts organisations) and an </w:t>
      </w:r>
      <w:r w:rsidR="001A10B8" w:rsidRPr="0007118C">
        <w:rPr>
          <w:rFonts w:eastAsiaTheme="minorHAnsi"/>
          <w:color w:val="000000"/>
          <w:sz w:val="21"/>
          <w:szCs w:val="21"/>
        </w:rPr>
        <w:t xml:space="preserve">additional $15 million </w:t>
      </w:r>
      <w:r w:rsidR="0007118C">
        <w:rPr>
          <w:rFonts w:eastAsiaTheme="minorHAnsi"/>
          <w:color w:val="000000"/>
          <w:sz w:val="21"/>
          <w:szCs w:val="21"/>
        </w:rPr>
        <w:t>in</w:t>
      </w:r>
      <w:r w:rsidR="001A10B8" w:rsidRPr="0007118C">
        <w:rPr>
          <w:rFonts w:eastAsiaTheme="minorHAnsi"/>
          <w:color w:val="000000"/>
          <w:sz w:val="21"/>
          <w:szCs w:val="21"/>
        </w:rPr>
        <w:t xml:space="preserve"> the Visual Arts and Craft Strategy (VACS) and </w:t>
      </w:r>
      <w:r w:rsidR="0099643F">
        <w:rPr>
          <w:rFonts w:eastAsiaTheme="minorHAnsi"/>
          <w:color w:val="000000"/>
          <w:sz w:val="21"/>
          <w:szCs w:val="21"/>
        </w:rPr>
        <w:t>other government initiatives.</w:t>
      </w:r>
      <w:r w:rsidR="001A10B8" w:rsidRPr="0007118C">
        <w:rPr>
          <w:rFonts w:eastAsiaTheme="minorHAnsi"/>
          <w:color w:val="000000"/>
          <w:sz w:val="21"/>
          <w:szCs w:val="21"/>
        </w:rPr>
        <w:t xml:space="preserve"> </w:t>
      </w:r>
    </w:p>
    <w:p w:rsidR="001A10B8" w:rsidRDefault="00B16CA7" w:rsidP="001A0F46">
      <w:pPr>
        <w:pStyle w:val="BodyText"/>
        <w:numPr>
          <w:ilvl w:val="0"/>
          <w:numId w:val="34"/>
        </w:numPr>
        <w:ind w:left="426" w:right="-342"/>
        <w:rPr>
          <w:rFonts w:eastAsiaTheme="minorHAnsi"/>
          <w:color w:val="000000"/>
          <w:sz w:val="21"/>
          <w:szCs w:val="21"/>
        </w:rPr>
      </w:pPr>
      <w:r>
        <w:rPr>
          <w:rFonts w:eastAsiaTheme="minorHAnsi"/>
          <w:color w:val="000000"/>
          <w:sz w:val="21"/>
          <w:szCs w:val="21"/>
        </w:rPr>
        <w:t>The Australia Council supported</w:t>
      </w:r>
      <w:r w:rsidR="00DC36F0">
        <w:rPr>
          <w:rFonts w:eastAsiaTheme="minorHAnsi"/>
          <w:color w:val="000000"/>
          <w:sz w:val="21"/>
          <w:szCs w:val="21"/>
        </w:rPr>
        <w:t xml:space="preserve"> </w:t>
      </w:r>
      <w:r w:rsidR="001A10B8" w:rsidRPr="0007118C">
        <w:rPr>
          <w:rFonts w:eastAsiaTheme="minorHAnsi"/>
          <w:color w:val="000000"/>
          <w:sz w:val="21"/>
          <w:szCs w:val="21"/>
        </w:rPr>
        <w:t>716 individual artists, 650 organisations and 7,2</w:t>
      </w:r>
      <w:r w:rsidR="0007118C">
        <w:rPr>
          <w:rFonts w:eastAsiaTheme="minorHAnsi"/>
          <w:color w:val="000000"/>
          <w:sz w:val="21"/>
          <w:szCs w:val="21"/>
        </w:rPr>
        <w:t>34 new artistic works.</w:t>
      </w:r>
    </w:p>
    <w:p w:rsidR="0099643F" w:rsidRPr="0007118C" w:rsidRDefault="0099643F" w:rsidP="001A0F46">
      <w:pPr>
        <w:pStyle w:val="BodyText"/>
        <w:numPr>
          <w:ilvl w:val="0"/>
          <w:numId w:val="34"/>
        </w:numPr>
        <w:ind w:left="426"/>
        <w:rPr>
          <w:rFonts w:eastAsiaTheme="minorHAnsi"/>
          <w:color w:val="000000"/>
          <w:sz w:val="21"/>
          <w:szCs w:val="21"/>
        </w:rPr>
      </w:pPr>
      <w:r>
        <w:rPr>
          <w:rFonts w:eastAsiaTheme="minorHAnsi"/>
          <w:color w:val="000000"/>
          <w:sz w:val="21"/>
          <w:szCs w:val="21"/>
        </w:rPr>
        <w:t>20% of successful applicants to the Council’s grants program were new applicants.</w:t>
      </w:r>
    </w:p>
    <w:p w:rsidR="001A10B8" w:rsidRPr="0007118C" w:rsidRDefault="003701D9" w:rsidP="001A0F46">
      <w:pPr>
        <w:pStyle w:val="BodyText"/>
        <w:numPr>
          <w:ilvl w:val="0"/>
          <w:numId w:val="34"/>
        </w:numPr>
        <w:ind w:left="426"/>
        <w:rPr>
          <w:rFonts w:eastAsiaTheme="minorHAnsi"/>
          <w:color w:val="000000"/>
          <w:sz w:val="21"/>
          <w:szCs w:val="21"/>
        </w:rPr>
      </w:pPr>
      <w:r w:rsidRPr="0007118C">
        <w:rPr>
          <w:rFonts w:eastAsiaTheme="minorHAnsi"/>
          <w:color w:val="000000"/>
          <w:sz w:val="21"/>
          <w:szCs w:val="21"/>
        </w:rPr>
        <w:t>175 organisations</w:t>
      </w:r>
      <w:r w:rsidR="001A10B8" w:rsidRPr="0007118C">
        <w:rPr>
          <w:rFonts w:eastAsiaTheme="minorHAnsi"/>
          <w:color w:val="000000"/>
          <w:sz w:val="21"/>
          <w:szCs w:val="21"/>
        </w:rPr>
        <w:t xml:space="preserve"> </w:t>
      </w:r>
      <w:r w:rsidRPr="0007118C">
        <w:rPr>
          <w:rFonts w:eastAsiaTheme="minorHAnsi"/>
          <w:color w:val="000000"/>
          <w:sz w:val="21"/>
          <w:szCs w:val="21"/>
        </w:rPr>
        <w:t>supported by multi-year funding throug</w:t>
      </w:r>
      <w:r w:rsidR="001A10B8" w:rsidRPr="0007118C">
        <w:rPr>
          <w:rFonts w:eastAsiaTheme="minorHAnsi"/>
          <w:color w:val="000000"/>
          <w:sz w:val="21"/>
          <w:szCs w:val="21"/>
        </w:rPr>
        <w:t>h the Key Organisations program</w:t>
      </w:r>
      <w:r w:rsidRPr="0007118C">
        <w:rPr>
          <w:rFonts w:eastAsiaTheme="minorHAnsi"/>
          <w:color w:val="000000"/>
          <w:sz w:val="21"/>
          <w:szCs w:val="21"/>
        </w:rPr>
        <w:t xml:space="preserve"> and the Major Performing Arts framework and </w:t>
      </w:r>
      <w:r w:rsidR="001A10B8" w:rsidRPr="0007118C">
        <w:rPr>
          <w:rFonts w:eastAsiaTheme="minorHAnsi"/>
          <w:color w:val="000000"/>
          <w:sz w:val="21"/>
          <w:szCs w:val="21"/>
        </w:rPr>
        <w:t>more than 400</w:t>
      </w:r>
      <w:r w:rsidR="00F97971" w:rsidRPr="0007118C">
        <w:rPr>
          <w:rFonts w:eastAsiaTheme="minorHAnsi"/>
          <w:color w:val="000000"/>
          <w:sz w:val="21"/>
          <w:szCs w:val="21"/>
        </w:rPr>
        <w:t xml:space="preserve"> artists and organisations </w:t>
      </w:r>
      <w:r w:rsidR="0007118C">
        <w:rPr>
          <w:rFonts w:eastAsiaTheme="minorHAnsi"/>
          <w:color w:val="000000"/>
          <w:sz w:val="21"/>
          <w:szCs w:val="21"/>
        </w:rPr>
        <w:t xml:space="preserve">supported </w:t>
      </w:r>
      <w:r w:rsidR="00DC36F0">
        <w:rPr>
          <w:rFonts w:eastAsiaTheme="minorHAnsi"/>
          <w:color w:val="000000"/>
          <w:sz w:val="21"/>
          <w:szCs w:val="21"/>
        </w:rPr>
        <w:t xml:space="preserve">to work </w:t>
      </w:r>
      <w:r w:rsidRPr="0007118C">
        <w:rPr>
          <w:rFonts w:eastAsiaTheme="minorHAnsi"/>
          <w:color w:val="000000"/>
          <w:sz w:val="21"/>
          <w:szCs w:val="21"/>
        </w:rPr>
        <w:t xml:space="preserve">internationally </w:t>
      </w:r>
      <w:r w:rsidR="00DC36F0">
        <w:rPr>
          <w:rFonts w:eastAsiaTheme="minorHAnsi"/>
          <w:color w:val="000000"/>
          <w:sz w:val="21"/>
          <w:szCs w:val="21"/>
        </w:rPr>
        <w:t>in</w:t>
      </w:r>
      <w:r w:rsidR="00DC36F0" w:rsidRPr="0007118C">
        <w:rPr>
          <w:rFonts w:eastAsiaTheme="minorHAnsi"/>
          <w:color w:val="000000"/>
          <w:sz w:val="21"/>
          <w:szCs w:val="21"/>
        </w:rPr>
        <w:t xml:space="preserve"> </w:t>
      </w:r>
      <w:r w:rsidR="00B16CA7">
        <w:rPr>
          <w:rFonts w:eastAsiaTheme="minorHAnsi"/>
          <w:color w:val="000000"/>
          <w:sz w:val="21"/>
          <w:szCs w:val="21"/>
        </w:rPr>
        <w:t xml:space="preserve">over </w:t>
      </w:r>
      <w:r w:rsidR="00A153C0" w:rsidRPr="0007118C">
        <w:rPr>
          <w:rFonts w:eastAsiaTheme="minorHAnsi"/>
          <w:color w:val="000000"/>
          <w:sz w:val="21"/>
          <w:szCs w:val="21"/>
        </w:rPr>
        <w:t>50</w:t>
      </w:r>
      <w:r w:rsidR="001A10B8" w:rsidRPr="0007118C">
        <w:rPr>
          <w:rFonts w:eastAsiaTheme="minorHAnsi"/>
          <w:color w:val="000000"/>
          <w:sz w:val="21"/>
          <w:szCs w:val="21"/>
        </w:rPr>
        <w:t xml:space="preserve"> countries, enhancing Australia’s profile and developing global markets.</w:t>
      </w:r>
    </w:p>
    <w:p w:rsidR="003701D9" w:rsidRPr="0007118C" w:rsidRDefault="003701D9" w:rsidP="001A0F46">
      <w:pPr>
        <w:pStyle w:val="BodyText"/>
        <w:numPr>
          <w:ilvl w:val="0"/>
          <w:numId w:val="34"/>
        </w:numPr>
        <w:ind w:left="426"/>
        <w:rPr>
          <w:rFonts w:eastAsiaTheme="minorHAnsi"/>
          <w:color w:val="000000"/>
          <w:sz w:val="21"/>
          <w:szCs w:val="21"/>
        </w:rPr>
      </w:pPr>
      <w:r w:rsidRPr="0007118C">
        <w:rPr>
          <w:rFonts w:eastAsiaTheme="minorHAnsi"/>
          <w:color w:val="000000"/>
          <w:sz w:val="21"/>
          <w:szCs w:val="21"/>
        </w:rPr>
        <w:t xml:space="preserve">More than $50 million invested in individual artists and small to medium organisations through grants programs and strategic development initiatives and more than $100 million invested through the Major Performing Arts </w:t>
      </w:r>
      <w:r w:rsidR="00F97971" w:rsidRPr="0007118C">
        <w:rPr>
          <w:rFonts w:eastAsiaTheme="minorHAnsi"/>
          <w:color w:val="000000"/>
          <w:sz w:val="21"/>
          <w:szCs w:val="21"/>
        </w:rPr>
        <w:t xml:space="preserve">(MPA) </w:t>
      </w:r>
      <w:r w:rsidRPr="0007118C">
        <w:rPr>
          <w:rFonts w:eastAsiaTheme="minorHAnsi"/>
          <w:color w:val="000000"/>
          <w:sz w:val="21"/>
          <w:szCs w:val="21"/>
        </w:rPr>
        <w:t>framework.</w:t>
      </w:r>
    </w:p>
    <w:p w:rsidR="003701D9" w:rsidRPr="0007118C" w:rsidRDefault="003701D9" w:rsidP="001A0F46">
      <w:pPr>
        <w:pStyle w:val="BodyText"/>
        <w:numPr>
          <w:ilvl w:val="0"/>
          <w:numId w:val="34"/>
        </w:numPr>
        <w:ind w:left="426"/>
        <w:rPr>
          <w:rFonts w:eastAsiaTheme="minorHAnsi"/>
          <w:color w:val="000000"/>
          <w:sz w:val="21"/>
          <w:szCs w:val="21"/>
        </w:rPr>
      </w:pPr>
      <w:r w:rsidRPr="0007118C">
        <w:rPr>
          <w:rFonts w:eastAsiaTheme="minorHAnsi"/>
          <w:color w:val="000000"/>
          <w:sz w:val="21"/>
          <w:szCs w:val="21"/>
        </w:rPr>
        <w:t xml:space="preserve">$25.8 million invested in regional Australian artists to foster artistic vibrancy and access to </w:t>
      </w:r>
      <w:r w:rsidR="00F97971" w:rsidRPr="0007118C">
        <w:rPr>
          <w:rFonts w:eastAsiaTheme="minorHAnsi"/>
          <w:color w:val="000000"/>
          <w:sz w:val="21"/>
          <w:szCs w:val="21"/>
        </w:rPr>
        <w:t xml:space="preserve">the </w:t>
      </w:r>
      <w:r w:rsidRPr="0007118C">
        <w:rPr>
          <w:rFonts w:eastAsiaTheme="minorHAnsi"/>
          <w:color w:val="000000"/>
          <w:sz w:val="21"/>
          <w:szCs w:val="21"/>
        </w:rPr>
        <w:t>arts, enriching the lives of 1.9 million people through attendance</w:t>
      </w:r>
      <w:r w:rsidR="00F97971" w:rsidRPr="0007118C">
        <w:rPr>
          <w:rFonts w:eastAsiaTheme="minorHAnsi"/>
          <w:color w:val="000000"/>
          <w:sz w:val="21"/>
          <w:szCs w:val="21"/>
        </w:rPr>
        <w:t xml:space="preserve"> at</w:t>
      </w:r>
      <w:r w:rsidRPr="0007118C">
        <w:rPr>
          <w:rFonts w:eastAsiaTheme="minorHAnsi"/>
          <w:color w:val="000000"/>
          <w:sz w:val="21"/>
          <w:szCs w:val="21"/>
        </w:rPr>
        <w:t xml:space="preserve"> performance</w:t>
      </w:r>
      <w:r w:rsidR="00F97971" w:rsidRPr="0007118C">
        <w:rPr>
          <w:rFonts w:eastAsiaTheme="minorHAnsi"/>
          <w:color w:val="000000"/>
          <w:sz w:val="21"/>
          <w:szCs w:val="21"/>
        </w:rPr>
        <w:t>s</w:t>
      </w:r>
      <w:r w:rsidRPr="0007118C">
        <w:rPr>
          <w:rFonts w:eastAsiaTheme="minorHAnsi"/>
          <w:color w:val="000000"/>
          <w:sz w:val="21"/>
          <w:szCs w:val="21"/>
        </w:rPr>
        <w:t>, exhibition</w:t>
      </w:r>
      <w:r w:rsidR="00F97971" w:rsidRPr="0007118C">
        <w:rPr>
          <w:rFonts w:eastAsiaTheme="minorHAnsi"/>
          <w:color w:val="000000"/>
          <w:sz w:val="21"/>
          <w:szCs w:val="21"/>
        </w:rPr>
        <w:t>s</w:t>
      </w:r>
      <w:r w:rsidRPr="0007118C">
        <w:rPr>
          <w:rFonts w:eastAsiaTheme="minorHAnsi"/>
          <w:color w:val="000000"/>
          <w:sz w:val="21"/>
          <w:szCs w:val="21"/>
        </w:rPr>
        <w:t>, school activities or workshops.</w:t>
      </w:r>
    </w:p>
    <w:p w:rsidR="00A164F0" w:rsidRPr="0007118C" w:rsidRDefault="001A10B8" w:rsidP="001A0F46">
      <w:pPr>
        <w:pStyle w:val="BodyText"/>
        <w:numPr>
          <w:ilvl w:val="0"/>
          <w:numId w:val="34"/>
        </w:numPr>
        <w:ind w:left="426"/>
        <w:rPr>
          <w:rFonts w:eastAsiaTheme="minorHAnsi"/>
          <w:color w:val="000000"/>
          <w:sz w:val="21"/>
          <w:szCs w:val="21"/>
        </w:rPr>
      </w:pPr>
      <w:r w:rsidRPr="0007118C">
        <w:rPr>
          <w:rFonts w:eastAsiaTheme="minorHAnsi"/>
          <w:color w:val="000000"/>
          <w:sz w:val="21"/>
          <w:szCs w:val="21"/>
        </w:rPr>
        <w:t>Audience attendances reached 15.7 million (12.8 million nationally and 2.9 million internationally) which supported the work of individual Australian artists and organisations, with many projects fin</w:t>
      </w:r>
      <w:r w:rsidR="006C6147" w:rsidRPr="0007118C">
        <w:rPr>
          <w:rFonts w:eastAsiaTheme="minorHAnsi"/>
          <w:color w:val="000000"/>
          <w:sz w:val="21"/>
          <w:szCs w:val="21"/>
        </w:rPr>
        <w:t>ding new markets and audiences.</w:t>
      </w:r>
    </w:p>
    <w:p w:rsidR="001A0F46" w:rsidRPr="007509C1" w:rsidRDefault="008B4FBB" w:rsidP="001A0F46">
      <w:pPr>
        <w:pStyle w:val="BodyText"/>
        <w:spacing w:before="0" w:after="0" w:line="240" w:lineRule="auto"/>
        <w:rPr>
          <w:rStyle w:val="Hyperlink"/>
          <w:rFonts w:eastAsiaTheme="minorHAnsi" w:cstheme="minorHAnsi"/>
          <w:b/>
          <w:bCs/>
          <w:sz w:val="21"/>
          <w:szCs w:val="21"/>
          <w:u w:val="none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Copies of the full </w:t>
      </w:r>
      <w:hyperlink r:id="rId8" w:history="1">
        <w:r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</w:rPr>
          <w:t>annual report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 and </w:t>
      </w:r>
      <w:hyperlink r:id="rId9" w:history="1">
        <w:r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</w:rPr>
          <w:t>factsheets</w:t>
        </w:r>
      </w:hyperlink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 are available for downloading. Hard copies are available on request.</w:t>
      </w:r>
    </w:p>
    <w:p w:rsidR="00910770" w:rsidRPr="00F65484" w:rsidRDefault="007509C1">
      <w:pPr>
        <w:pStyle w:val="BodyText"/>
        <w:spacing w:before="0" w:after="0" w:line="240" w:lineRule="auto"/>
        <w:rPr>
          <w:rFonts w:ascii="Arial" w:hAnsi="Arial" w:cs="Arial"/>
          <w:sz w:val="21"/>
          <w:szCs w:val="21"/>
        </w:rPr>
      </w:pPr>
      <w:r w:rsidRPr="00F65484">
        <w:rPr>
          <w:rFonts w:ascii="Arial" w:hAnsi="Arial" w:cs="Arial"/>
          <w:sz w:val="21"/>
          <w:szCs w:val="21"/>
        </w:rPr>
        <w:t>Media contact:</w:t>
      </w:r>
      <w:r w:rsidRPr="00F65484">
        <w:rPr>
          <w:rFonts w:ascii="Arial" w:hAnsi="Arial" w:cs="Arial"/>
          <w:sz w:val="21"/>
          <w:szCs w:val="21"/>
        </w:rPr>
        <w:tab/>
        <w:t xml:space="preserve"> </w:t>
      </w:r>
      <w:r w:rsidRPr="00F65484">
        <w:rPr>
          <w:rFonts w:ascii="Arial" w:hAnsi="Arial" w:cs="Arial"/>
          <w:sz w:val="21"/>
          <w:szCs w:val="21"/>
        </w:rPr>
        <w:tab/>
      </w:r>
      <w:r w:rsidR="0094098A" w:rsidRPr="00F65484">
        <w:rPr>
          <w:rFonts w:ascii="Arial" w:hAnsi="Arial" w:cs="Arial"/>
          <w:sz w:val="21"/>
          <w:szCs w:val="21"/>
        </w:rPr>
        <w:t>Kate Clark</w:t>
      </w:r>
      <w:r w:rsidR="006F3E90" w:rsidRPr="00F65484">
        <w:rPr>
          <w:rFonts w:ascii="Arial" w:hAnsi="Arial" w:cs="Arial"/>
          <w:sz w:val="21"/>
          <w:szCs w:val="21"/>
        </w:rPr>
        <w:t xml:space="preserve">, </w:t>
      </w:r>
      <w:r w:rsidR="0094098A" w:rsidRPr="00F65484">
        <w:rPr>
          <w:rFonts w:ascii="Arial" w:hAnsi="Arial" w:cs="Arial"/>
          <w:sz w:val="21"/>
          <w:szCs w:val="21"/>
        </w:rPr>
        <w:t>Director of Communications</w:t>
      </w:r>
      <w:r w:rsidR="00956490" w:rsidRPr="00F65484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956490" w:rsidRPr="00F65484">
        <w:rPr>
          <w:rFonts w:ascii="Arial" w:hAnsi="Arial" w:cs="Arial"/>
          <w:sz w:val="21"/>
          <w:szCs w:val="21"/>
        </w:rPr>
        <w:t>Australia</w:t>
      </w:r>
      <w:proofErr w:type="gramEnd"/>
      <w:r w:rsidR="00956490" w:rsidRPr="00F65484">
        <w:rPr>
          <w:rFonts w:ascii="Arial" w:hAnsi="Arial" w:cs="Arial"/>
          <w:sz w:val="21"/>
          <w:szCs w:val="21"/>
        </w:rPr>
        <w:t xml:space="preserve"> Co</w:t>
      </w:r>
      <w:r w:rsidR="004B3A8E" w:rsidRPr="00F65484">
        <w:rPr>
          <w:rFonts w:ascii="Arial" w:hAnsi="Arial" w:cs="Arial"/>
          <w:sz w:val="21"/>
          <w:szCs w:val="21"/>
        </w:rPr>
        <w:t>uncil for the Arts</w:t>
      </w:r>
    </w:p>
    <w:p w:rsidR="0094098A" w:rsidRPr="00F65484" w:rsidRDefault="006F3E90" w:rsidP="007509C1">
      <w:pPr>
        <w:pStyle w:val="BodyText"/>
        <w:tabs>
          <w:tab w:val="left" w:pos="1935"/>
        </w:tabs>
        <w:spacing w:before="0" w:after="0" w:line="240" w:lineRule="auto"/>
        <w:rPr>
          <w:rFonts w:ascii="Arial" w:hAnsi="Arial" w:cs="Arial"/>
          <w:sz w:val="21"/>
          <w:szCs w:val="21"/>
        </w:rPr>
      </w:pPr>
      <w:r w:rsidRPr="00F65484">
        <w:rPr>
          <w:rFonts w:ascii="Arial" w:hAnsi="Arial" w:cs="Arial"/>
          <w:sz w:val="21"/>
          <w:szCs w:val="21"/>
        </w:rPr>
        <w:t xml:space="preserve">Tel: </w:t>
      </w:r>
      <w:r w:rsidR="00910770" w:rsidRPr="00F65484">
        <w:rPr>
          <w:rFonts w:ascii="Arial" w:hAnsi="Arial" w:cs="Arial"/>
          <w:sz w:val="21"/>
          <w:szCs w:val="21"/>
        </w:rPr>
        <w:t>(02) 9215 9166</w:t>
      </w:r>
      <w:r w:rsidR="00910770" w:rsidRPr="00F65484">
        <w:rPr>
          <w:rFonts w:ascii="Arial" w:hAnsi="Arial" w:cs="Arial"/>
          <w:sz w:val="21"/>
          <w:szCs w:val="21"/>
        </w:rPr>
        <w:tab/>
      </w:r>
      <w:r w:rsidRPr="00F65484">
        <w:rPr>
          <w:rFonts w:ascii="Arial" w:hAnsi="Arial" w:cs="Arial"/>
          <w:sz w:val="21"/>
          <w:szCs w:val="21"/>
        </w:rPr>
        <w:tab/>
        <w:t xml:space="preserve">Email: </w:t>
      </w:r>
      <w:r w:rsidR="00910770" w:rsidRPr="00F65484">
        <w:rPr>
          <w:rFonts w:ascii="Arial" w:hAnsi="Arial" w:cs="Arial"/>
          <w:sz w:val="21"/>
          <w:szCs w:val="21"/>
        </w:rPr>
        <w:t>k.clark@australiacouncil.gov.au</w:t>
      </w:r>
    </w:p>
    <w:sectPr w:rsidR="0094098A" w:rsidRPr="00F65484" w:rsidSect="005F19BD">
      <w:footerReference w:type="first" r:id="rId10"/>
      <w:pgSz w:w="11906" w:h="16838" w:code="9"/>
      <w:pgMar w:top="1021" w:right="1021" w:bottom="28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A0" w:rsidRDefault="009339A0" w:rsidP="00185154">
      <w:r>
        <w:separator/>
      </w:r>
    </w:p>
    <w:p w:rsidR="009339A0" w:rsidRDefault="009339A0"/>
  </w:endnote>
  <w:endnote w:type="continuationSeparator" w:id="0">
    <w:p w:rsidR="009339A0" w:rsidRDefault="009339A0" w:rsidP="00185154">
      <w:r>
        <w:continuationSeparator/>
      </w:r>
    </w:p>
    <w:p w:rsidR="009339A0" w:rsidRDefault="00933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A0" w:rsidRDefault="009339A0" w:rsidP="00A640FF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A0" w:rsidRDefault="009339A0" w:rsidP="00185154">
      <w:r>
        <w:separator/>
      </w:r>
    </w:p>
    <w:p w:rsidR="009339A0" w:rsidRDefault="009339A0"/>
  </w:footnote>
  <w:footnote w:type="continuationSeparator" w:id="0">
    <w:p w:rsidR="009339A0" w:rsidRDefault="009339A0" w:rsidP="00185154">
      <w:r>
        <w:continuationSeparator/>
      </w:r>
    </w:p>
    <w:p w:rsidR="009339A0" w:rsidRDefault="009339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4E66DE"/>
    <w:multiLevelType w:val="hybridMultilevel"/>
    <w:tmpl w:val="2B90B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8D0"/>
    <w:multiLevelType w:val="hybridMultilevel"/>
    <w:tmpl w:val="3634B04E"/>
    <w:lvl w:ilvl="0" w:tplc="41EEB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4AE9"/>
    <w:multiLevelType w:val="multilevel"/>
    <w:tmpl w:val="E35CFF70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24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24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24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24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8D33534"/>
    <w:multiLevelType w:val="multilevel"/>
    <w:tmpl w:val="9D625AA6"/>
    <w:numStyleLink w:val="ListNumberedHeadings"/>
  </w:abstractNum>
  <w:abstractNum w:abstractNumId="5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DA47293"/>
    <w:multiLevelType w:val="hybridMultilevel"/>
    <w:tmpl w:val="8526A74A"/>
    <w:lvl w:ilvl="0" w:tplc="41EEB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619B"/>
    <w:multiLevelType w:val="hybridMultilevel"/>
    <w:tmpl w:val="6BF28AD8"/>
    <w:lvl w:ilvl="0" w:tplc="1D92B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C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81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C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0E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364391"/>
    <w:multiLevelType w:val="multilevel"/>
    <w:tmpl w:val="E35CFF70"/>
    <w:numStyleLink w:val="ListAlpha"/>
  </w:abstractNum>
  <w:abstractNum w:abstractNumId="9" w15:restartNumberingAfterBreak="0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BDFC207A"/>
    <w:numStyleLink w:val="ListTableNumber"/>
  </w:abstractNum>
  <w:abstractNum w:abstractNumId="11" w15:restartNumberingAfterBreak="0">
    <w:nsid w:val="28D8219C"/>
    <w:multiLevelType w:val="hybridMultilevel"/>
    <w:tmpl w:val="0772F85E"/>
    <w:lvl w:ilvl="0" w:tplc="41EEB46E">
      <w:start w:val="1"/>
      <w:numFmt w:val="bullet"/>
      <w:lvlText w:val="-"/>
      <w:lvlJc w:val="left"/>
      <w:pPr>
        <w:ind w:left="772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485" w:hanging="360"/>
      </w:pPr>
      <w:rPr>
        <w:rFonts w:ascii="Wingdings" w:hAnsi="Wingdings" w:hint="default"/>
      </w:rPr>
    </w:lvl>
  </w:abstractNum>
  <w:abstractNum w:abstractNumId="12" w15:restartNumberingAfterBreak="0">
    <w:nsid w:val="2F5D49C5"/>
    <w:multiLevelType w:val="hybridMultilevel"/>
    <w:tmpl w:val="BAA6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671A9"/>
    <w:multiLevelType w:val="hybridMultilevel"/>
    <w:tmpl w:val="8D86F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4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222E9"/>
    <w:multiLevelType w:val="multilevel"/>
    <w:tmpl w:val="DB70D304"/>
    <w:numStyleLink w:val="ListNumber"/>
  </w:abstractNum>
  <w:abstractNum w:abstractNumId="16" w15:restartNumberingAfterBreak="0">
    <w:nsid w:val="3C862322"/>
    <w:multiLevelType w:val="hybridMultilevel"/>
    <w:tmpl w:val="0896BBBE"/>
    <w:lvl w:ilvl="0" w:tplc="41EEB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172F" w:themeColor="accent1"/>
        <w:sz w:val="40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z w:val="3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525051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5A4984"/>
    <w:multiLevelType w:val="multilevel"/>
    <w:tmpl w:val="7228EA06"/>
    <w:numStyleLink w:val="ListBullet"/>
  </w:abstractNum>
  <w:abstractNum w:abstractNumId="19" w15:restartNumberingAfterBreak="0">
    <w:nsid w:val="522F1D80"/>
    <w:multiLevelType w:val="multilevel"/>
    <w:tmpl w:val="BDFC207A"/>
    <w:numStyleLink w:val="ListTableNumber"/>
  </w:abstractNum>
  <w:abstractNum w:abstractNumId="20" w15:restartNumberingAfterBreak="0">
    <w:nsid w:val="559F6BD4"/>
    <w:multiLevelType w:val="hybridMultilevel"/>
    <w:tmpl w:val="E56C2208"/>
    <w:lvl w:ilvl="0" w:tplc="6536458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  <w:color w:val="1CCFE9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107BD1"/>
    <w:multiLevelType w:val="multilevel"/>
    <w:tmpl w:val="E35CFF70"/>
    <w:numStyleLink w:val="ListAlpha"/>
  </w:abstractNum>
  <w:abstractNum w:abstractNumId="22" w15:restartNumberingAfterBreak="0">
    <w:nsid w:val="5672287E"/>
    <w:multiLevelType w:val="multilevel"/>
    <w:tmpl w:val="6C767F4A"/>
    <w:lvl w:ilvl="0">
      <w:start w:val="2015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4019F0"/>
    <w:multiLevelType w:val="multilevel"/>
    <w:tmpl w:val="7228EA06"/>
    <w:numStyleLink w:val="ListBullet"/>
  </w:abstractNum>
  <w:abstractNum w:abstractNumId="24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6E468D"/>
    <w:multiLevelType w:val="hybridMultilevel"/>
    <w:tmpl w:val="AA5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F551A"/>
    <w:multiLevelType w:val="hybridMultilevel"/>
    <w:tmpl w:val="8C8C6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9706E"/>
    <w:multiLevelType w:val="multilevel"/>
    <w:tmpl w:val="11C64328"/>
    <w:numStyleLink w:val="ListParagraph"/>
  </w:abstractNum>
  <w:abstractNum w:abstractNumId="28" w15:restartNumberingAfterBreak="0">
    <w:nsid w:val="751F71E4"/>
    <w:multiLevelType w:val="hybridMultilevel"/>
    <w:tmpl w:val="FCA619BA"/>
    <w:lvl w:ilvl="0" w:tplc="41EEB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02A4D"/>
    <w:multiLevelType w:val="hybridMultilevel"/>
    <w:tmpl w:val="2A80C24E"/>
    <w:lvl w:ilvl="0" w:tplc="41EEB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341B3"/>
    <w:multiLevelType w:val="multilevel"/>
    <w:tmpl w:val="624681D2"/>
    <w:numStyleLink w:val="ListTableBullet"/>
  </w:abstractNum>
  <w:abstractNum w:abstractNumId="31" w15:restartNumberingAfterBreak="0">
    <w:nsid w:val="7D9B6564"/>
    <w:multiLevelType w:val="multilevel"/>
    <w:tmpl w:val="9D625AA6"/>
    <w:numStyleLink w:val="ListNumberedHeadings"/>
  </w:abstractNum>
  <w:abstractNum w:abstractNumId="32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3" w15:restartNumberingAfterBreak="0">
    <w:nsid w:val="7F9E37EE"/>
    <w:multiLevelType w:val="multilevel"/>
    <w:tmpl w:val="DB70D304"/>
    <w:numStyleLink w:val="ListNumber"/>
  </w:abstractNum>
  <w:abstractNum w:abstractNumId="34" w15:restartNumberingAfterBreak="0">
    <w:nsid w:val="7FE4170D"/>
    <w:multiLevelType w:val="hybridMultilevel"/>
    <w:tmpl w:val="F04A05B4"/>
    <w:lvl w:ilvl="0" w:tplc="39B2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4C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A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44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A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2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5"/>
  </w:num>
  <w:num w:numId="8">
    <w:abstractNumId w:val="24"/>
  </w:num>
  <w:num w:numId="9">
    <w:abstractNumId w:val="8"/>
  </w:num>
  <w:num w:numId="10">
    <w:abstractNumId w:val="33"/>
  </w:num>
  <w:num w:numId="11">
    <w:abstractNumId w:val="27"/>
  </w:num>
  <w:num w:numId="12">
    <w:abstractNumId w:val="31"/>
  </w:num>
  <w:num w:numId="13">
    <w:abstractNumId w:val="10"/>
  </w:num>
  <w:num w:numId="14">
    <w:abstractNumId w:val="30"/>
  </w:num>
  <w:num w:numId="15">
    <w:abstractNumId w:val="18"/>
  </w:num>
  <w:num w:numId="16">
    <w:abstractNumId w:val="23"/>
  </w:num>
  <w:num w:numId="17">
    <w:abstractNumId w:val="4"/>
  </w:num>
  <w:num w:numId="18">
    <w:abstractNumId w:val="15"/>
  </w:num>
  <w:num w:numId="19">
    <w:abstractNumId w:val="21"/>
  </w:num>
  <w:num w:numId="20">
    <w:abstractNumId w:val="19"/>
  </w:num>
  <w:num w:numId="21">
    <w:abstractNumId w:val="25"/>
  </w:num>
  <w:num w:numId="22">
    <w:abstractNumId w:val="12"/>
  </w:num>
  <w:num w:numId="23">
    <w:abstractNumId w:val="1"/>
  </w:num>
  <w:num w:numId="24">
    <w:abstractNumId w:val="34"/>
  </w:num>
  <w:num w:numId="25">
    <w:abstractNumId w:val="7"/>
  </w:num>
  <w:num w:numId="26">
    <w:abstractNumId w:val="13"/>
  </w:num>
  <w:num w:numId="27">
    <w:abstractNumId w:val="20"/>
  </w:num>
  <w:num w:numId="28">
    <w:abstractNumId w:val="29"/>
  </w:num>
  <w:num w:numId="29">
    <w:abstractNumId w:val="16"/>
  </w:num>
  <w:num w:numId="30">
    <w:abstractNumId w:val="2"/>
  </w:num>
  <w:num w:numId="31">
    <w:abstractNumId w:val="28"/>
  </w:num>
  <w:num w:numId="32">
    <w:abstractNumId w:val="11"/>
  </w:num>
  <w:num w:numId="33">
    <w:abstractNumId w:val="6"/>
  </w:num>
  <w:num w:numId="34">
    <w:abstractNumId w:val="26"/>
  </w:num>
  <w:num w:numId="3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03"/>
    <w:rsid w:val="00006100"/>
    <w:rsid w:val="00012C0A"/>
    <w:rsid w:val="0002144D"/>
    <w:rsid w:val="000266E7"/>
    <w:rsid w:val="0003193A"/>
    <w:rsid w:val="00044C15"/>
    <w:rsid w:val="00053314"/>
    <w:rsid w:val="0007118C"/>
    <w:rsid w:val="00071C7D"/>
    <w:rsid w:val="00076F97"/>
    <w:rsid w:val="000870BB"/>
    <w:rsid w:val="00087D93"/>
    <w:rsid w:val="000949E1"/>
    <w:rsid w:val="000B3EBE"/>
    <w:rsid w:val="000C0C22"/>
    <w:rsid w:val="000C1D1E"/>
    <w:rsid w:val="000D410C"/>
    <w:rsid w:val="000D4BD4"/>
    <w:rsid w:val="000D6C99"/>
    <w:rsid w:val="000E055B"/>
    <w:rsid w:val="000E6D30"/>
    <w:rsid w:val="000F1E13"/>
    <w:rsid w:val="000F4A35"/>
    <w:rsid w:val="001005FC"/>
    <w:rsid w:val="0010310B"/>
    <w:rsid w:val="001063C6"/>
    <w:rsid w:val="0013218E"/>
    <w:rsid w:val="00140AD8"/>
    <w:rsid w:val="00142383"/>
    <w:rsid w:val="00144F93"/>
    <w:rsid w:val="00145CCD"/>
    <w:rsid w:val="00147106"/>
    <w:rsid w:val="001505D8"/>
    <w:rsid w:val="00154790"/>
    <w:rsid w:val="00156423"/>
    <w:rsid w:val="001600E5"/>
    <w:rsid w:val="001659FF"/>
    <w:rsid w:val="001709F9"/>
    <w:rsid w:val="00170CAA"/>
    <w:rsid w:val="001829A7"/>
    <w:rsid w:val="00182E4A"/>
    <w:rsid w:val="00185154"/>
    <w:rsid w:val="001871F2"/>
    <w:rsid w:val="0019114D"/>
    <w:rsid w:val="0019763D"/>
    <w:rsid w:val="001A0F46"/>
    <w:rsid w:val="001A10B8"/>
    <w:rsid w:val="001B2CF2"/>
    <w:rsid w:val="001B7313"/>
    <w:rsid w:val="001B7F81"/>
    <w:rsid w:val="001C7DD1"/>
    <w:rsid w:val="001F16CA"/>
    <w:rsid w:val="001F2514"/>
    <w:rsid w:val="002078C1"/>
    <w:rsid w:val="002106C4"/>
    <w:rsid w:val="00210DEF"/>
    <w:rsid w:val="00222215"/>
    <w:rsid w:val="0022284F"/>
    <w:rsid w:val="002273C7"/>
    <w:rsid w:val="00235147"/>
    <w:rsid w:val="002356CA"/>
    <w:rsid w:val="00240ED9"/>
    <w:rsid w:val="002474B4"/>
    <w:rsid w:val="0025119D"/>
    <w:rsid w:val="00252201"/>
    <w:rsid w:val="00254DD8"/>
    <w:rsid w:val="00255004"/>
    <w:rsid w:val="00257CC0"/>
    <w:rsid w:val="00260827"/>
    <w:rsid w:val="002621E9"/>
    <w:rsid w:val="00264BC6"/>
    <w:rsid w:val="00272FAE"/>
    <w:rsid w:val="002A25EE"/>
    <w:rsid w:val="002B4003"/>
    <w:rsid w:val="002B52F9"/>
    <w:rsid w:val="002B79E5"/>
    <w:rsid w:val="002C3E8B"/>
    <w:rsid w:val="002C5B1C"/>
    <w:rsid w:val="002D08E9"/>
    <w:rsid w:val="002D4254"/>
    <w:rsid w:val="002D4E6E"/>
    <w:rsid w:val="002F632A"/>
    <w:rsid w:val="00300E2F"/>
    <w:rsid w:val="00301893"/>
    <w:rsid w:val="00311CF6"/>
    <w:rsid w:val="003131B4"/>
    <w:rsid w:val="00327B28"/>
    <w:rsid w:val="003411DD"/>
    <w:rsid w:val="00360039"/>
    <w:rsid w:val="00360EC6"/>
    <w:rsid w:val="00360F2D"/>
    <w:rsid w:val="003610F5"/>
    <w:rsid w:val="003701D9"/>
    <w:rsid w:val="0037398C"/>
    <w:rsid w:val="0037618F"/>
    <w:rsid w:val="00377587"/>
    <w:rsid w:val="00384FA8"/>
    <w:rsid w:val="003853C1"/>
    <w:rsid w:val="00385AB0"/>
    <w:rsid w:val="0039381B"/>
    <w:rsid w:val="003949A7"/>
    <w:rsid w:val="00396E87"/>
    <w:rsid w:val="003A04C1"/>
    <w:rsid w:val="003A08A5"/>
    <w:rsid w:val="003B0945"/>
    <w:rsid w:val="003B097F"/>
    <w:rsid w:val="003B2CD3"/>
    <w:rsid w:val="003B4DCF"/>
    <w:rsid w:val="003B6519"/>
    <w:rsid w:val="003B70C8"/>
    <w:rsid w:val="003C4F45"/>
    <w:rsid w:val="003D369C"/>
    <w:rsid w:val="003D3B71"/>
    <w:rsid w:val="003D56AF"/>
    <w:rsid w:val="003E1EF3"/>
    <w:rsid w:val="003E5319"/>
    <w:rsid w:val="003F2D93"/>
    <w:rsid w:val="0040434A"/>
    <w:rsid w:val="00404365"/>
    <w:rsid w:val="00404615"/>
    <w:rsid w:val="00407776"/>
    <w:rsid w:val="004130EB"/>
    <w:rsid w:val="00427353"/>
    <w:rsid w:val="0043564D"/>
    <w:rsid w:val="0043628A"/>
    <w:rsid w:val="00443DEF"/>
    <w:rsid w:val="00444AE6"/>
    <w:rsid w:val="004478FD"/>
    <w:rsid w:val="00454FEE"/>
    <w:rsid w:val="00465D1F"/>
    <w:rsid w:val="004700B3"/>
    <w:rsid w:val="00476CB0"/>
    <w:rsid w:val="0048666F"/>
    <w:rsid w:val="00490B17"/>
    <w:rsid w:val="00491C59"/>
    <w:rsid w:val="004A2E58"/>
    <w:rsid w:val="004B3A8E"/>
    <w:rsid w:val="004B7DAE"/>
    <w:rsid w:val="004C1EB5"/>
    <w:rsid w:val="004C24B0"/>
    <w:rsid w:val="004D3FAB"/>
    <w:rsid w:val="004E7973"/>
    <w:rsid w:val="004E79A4"/>
    <w:rsid w:val="004F27A9"/>
    <w:rsid w:val="004F2A3C"/>
    <w:rsid w:val="004F3D6F"/>
    <w:rsid w:val="00501338"/>
    <w:rsid w:val="0051056D"/>
    <w:rsid w:val="005133FF"/>
    <w:rsid w:val="005162FF"/>
    <w:rsid w:val="00520B9E"/>
    <w:rsid w:val="00532BF3"/>
    <w:rsid w:val="005331C9"/>
    <w:rsid w:val="00540F08"/>
    <w:rsid w:val="0055219D"/>
    <w:rsid w:val="00552F64"/>
    <w:rsid w:val="0055353F"/>
    <w:rsid w:val="00560A01"/>
    <w:rsid w:val="0056633F"/>
    <w:rsid w:val="005713E5"/>
    <w:rsid w:val="00576BF5"/>
    <w:rsid w:val="005845D6"/>
    <w:rsid w:val="005A435A"/>
    <w:rsid w:val="005B0C40"/>
    <w:rsid w:val="005C1822"/>
    <w:rsid w:val="005D620B"/>
    <w:rsid w:val="005E259B"/>
    <w:rsid w:val="005F19BD"/>
    <w:rsid w:val="006004A6"/>
    <w:rsid w:val="006025ED"/>
    <w:rsid w:val="0061089F"/>
    <w:rsid w:val="00612904"/>
    <w:rsid w:val="00612A62"/>
    <w:rsid w:val="006142C3"/>
    <w:rsid w:val="0061553F"/>
    <w:rsid w:val="006173D8"/>
    <w:rsid w:val="006315C3"/>
    <w:rsid w:val="00633235"/>
    <w:rsid w:val="006352D9"/>
    <w:rsid w:val="006356CD"/>
    <w:rsid w:val="0064095B"/>
    <w:rsid w:val="00645A1E"/>
    <w:rsid w:val="00652D27"/>
    <w:rsid w:val="0065325A"/>
    <w:rsid w:val="00674316"/>
    <w:rsid w:val="006A1801"/>
    <w:rsid w:val="006B0571"/>
    <w:rsid w:val="006B168F"/>
    <w:rsid w:val="006B2C07"/>
    <w:rsid w:val="006C3283"/>
    <w:rsid w:val="006C6147"/>
    <w:rsid w:val="006D22C5"/>
    <w:rsid w:val="006F1170"/>
    <w:rsid w:val="006F3E90"/>
    <w:rsid w:val="007118BC"/>
    <w:rsid w:val="00714B1E"/>
    <w:rsid w:val="007178FA"/>
    <w:rsid w:val="00726629"/>
    <w:rsid w:val="00743B47"/>
    <w:rsid w:val="007509C1"/>
    <w:rsid w:val="00754E86"/>
    <w:rsid w:val="00756AF6"/>
    <w:rsid w:val="00770BF1"/>
    <w:rsid w:val="00770F34"/>
    <w:rsid w:val="00773829"/>
    <w:rsid w:val="00774E81"/>
    <w:rsid w:val="00796CE6"/>
    <w:rsid w:val="00797160"/>
    <w:rsid w:val="007A0E37"/>
    <w:rsid w:val="007A5346"/>
    <w:rsid w:val="007B724C"/>
    <w:rsid w:val="007C09BB"/>
    <w:rsid w:val="007C3478"/>
    <w:rsid w:val="007D0C19"/>
    <w:rsid w:val="007D18BE"/>
    <w:rsid w:val="007D1F86"/>
    <w:rsid w:val="007E7291"/>
    <w:rsid w:val="008155D3"/>
    <w:rsid w:val="008207A5"/>
    <w:rsid w:val="00822503"/>
    <w:rsid w:val="00845732"/>
    <w:rsid w:val="008572D9"/>
    <w:rsid w:val="00861E13"/>
    <w:rsid w:val="00880278"/>
    <w:rsid w:val="00881972"/>
    <w:rsid w:val="00892496"/>
    <w:rsid w:val="0089504B"/>
    <w:rsid w:val="008962C7"/>
    <w:rsid w:val="008A0103"/>
    <w:rsid w:val="008A1367"/>
    <w:rsid w:val="008A29E5"/>
    <w:rsid w:val="008A2A48"/>
    <w:rsid w:val="008A6F22"/>
    <w:rsid w:val="008B1861"/>
    <w:rsid w:val="008B4FBB"/>
    <w:rsid w:val="008B5D8F"/>
    <w:rsid w:val="008C5081"/>
    <w:rsid w:val="008E0DB1"/>
    <w:rsid w:val="008E347A"/>
    <w:rsid w:val="008E58E3"/>
    <w:rsid w:val="008F4E0B"/>
    <w:rsid w:val="00902AE8"/>
    <w:rsid w:val="00904D47"/>
    <w:rsid w:val="00910770"/>
    <w:rsid w:val="00921048"/>
    <w:rsid w:val="009339A0"/>
    <w:rsid w:val="00933D5B"/>
    <w:rsid w:val="0094098A"/>
    <w:rsid w:val="00945EEF"/>
    <w:rsid w:val="00952920"/>
    <w:rsid w:val="00956490"/>
    <w:rsid w:val="009571D7"/>
    <w:rsid w:val="00973842"/>
    <w:rsid w:val="00990C96"/>
    <w:rsid w:val="0099643F"/>
    <w:rsid w:val="009A199C"/>
    <w:rsid w:val="009A1CCF"/>
    <w:rsid w:val="009A2115"/>
    <w:rsid w:val="009C7BB2"/>
    <w:rsid w:val="009F65D1"/>
    <w:rsid w:val="009F6CE7"/>
    <w:rsid w:val="00A033AF"/>
    <w:rsid w:val="00A07960"/>
    <w:rsid w:val="00A102D1"/>
    <w:rsid w:val="00A153C0"/>
    <w:rsid w:val="00A164F0"/>
    <w:rsid w:val="00A41250"/>
    <w:rsid w:val="00A41D4E"/>
    <w:rsid w:val="00A4424D"/>
    <w:rsid w:val="00A51F6F"/>
    <w:rsid w:val="00A52A8F"/>
    <w:rsid w:val="00A640FF"/>
    <w:rsid w:val="00A75D6E"/>
    <w:rsid w:val="00A807F4"/>
    <w:rsid w:val="00A83B38"/>
    <w:rsid w:val="00A87BEC"/>
    <w:rsid w:val="00A87FFE"/>
    <w:rsid w:val="00A94659"/>
    <w:rsid w:val="00A94951"/>
    <w:rsid w:val="00AA538D"/>
    <w:rsid w:val="00AA6010"/>
    <w:rsid w:val="00AB28A2"/>
    <w:rsid w:val="00AB376F"/>
    <w:rsid w:val="00AB629A"/>
    <w:rsid w:val="00AD061A"/>
    <w:rsid w:val="00AD6EC2"/>
    <w:rsid w:val="00AE1DB5"/>
    <w:rsid w:val="00AE4C26"/>
    <w:rsid w:val="00AE5EF2"/>
    <w:rsid w:val="00AE67E7"/>
    <w:rsid w:val="00AF14E8"/>
    <w:rsid w:val="00AF2204"/>
    <w:rsid w:val="00AF7B30"/>
    <w:rsid w:val="00B012F3"/>
    <w:rsid w:val="00B1273F"/>
    <w:rsid w:val="00B16CA7"/>
    <w:rsid w:val="00B2397F"/>
    <w:rsid w:val="00B30A69"/>
    <w:rsid w:val="00B4269E"/>
    <w:rsid w:val="00B479EC"/>
    <w:rsid w:val="00B51D30"/>
    <w:rsid w:val="00B53493"/>
    <w:rsid w:val="00B55D18"/>
    <w:rsid w:val="00B56CC8"/>
    <w:rsid w:val="00B63C4F"/>
    <w:rsid w:val="00B65281"/>
    <w:rsid w:val="00B668FB"/>
    <w:rsid w:val="00B74849"/>
    <w:rsid w:val="00B7663D"/>
    <w:rsid w:val="00B76B8E"/>
    <w:rsid w:val="00B7751A"/>
    <w:rsid w:val="00B83C25"/>
    <w:rsid w:val="00B84777"/>
    <w:rsid w:val="00B93DBA"/>
    <w:rsid w:val="00BA45AE"/>
    <w:rsid w:val="00BA4F4A"/>
    <w:rsid w:val="00BA66AD"/>
    <w:rsid w:val="00BB4A71"/>
    <w:rsid w:val="00BC2DD3"/>
    <w:rsid w:val="00BC41D4"/>
    <w:rsid w:val="00BC67B1"/>
    <w:rsid w:val="00BD00E3"/>
    <w:rsid w:val="00BE5D4E"/>
    <w:rsid w:val="00BF059C"/>
    <w:rsid w:val="00BF2C53"/>
    <w:rsid w:val="00C000C3"/>
    <w:rsid w:val="00C02E60"/>
    <w:rsid w:val="00C04CF3"/>
    <w:rsid w:val="00C05FD5"/>
    <w:rsid w:val="00C240FD"/>
    <w:rsid w:val="00C24374"/>
    <w:rsid w:val="00C2474C"/>
    <w:rsid w:val="00C25577"/>
    <w:rsid w:val="00C26842"/>
    <w:rsid w:val="00C302EF"/>
    <w:rsid w:val="00C30D1D"/>
    <w:rsid w:val="00C317E6"/>
    <w:rsid w:val="00C41B01"/>
    <w:rsid w:val="00C52EEE"/>
    <w:rsid w:val="00C626EC"/>
    <w:rsid w:val="00C721B6"/>
    <w:rsid w:val="00C74C53"/>
    <w:rsid w:val="00C93398"/>
    <w:rsid w:val="00C957FF"/>
    <w:rsid w:val="00C97431"/>
    <w:rsid w:val="00CA7D11"/>
    <w:rsid w:val="00CB33E9"/>
    <w:rsid w:val="00CB62E6"/>
    <w:rsid w:val="00CC34FE"/>
    <w:rsid w:val="00CC765E"/>
    <w:rsid w:val="00CF7DA4"/>
    <w:rsid w:val="00D0582C"/>
    <w:rsid w:val="00D0748E"/>
    <w:rsid w:val="00D145A0"/>
    <w:rsid w:val="00D241D3"/>
    <w:rsid w:val="00D253E1"/>
    <w:rsid w:val="00D27FA8"/>
    <w:rsid w:val="00D365D3"/>
    <w:rsid w:val="00D41DF1"/>
    <w:rsid w:val="00D42F7B"/>
    <w:rsid w:val="00D431EA"/>
    <w:rsid w:val="00D473D5"/>
    <w:rsid w:val="00D506FE"/>
    <w:rsid w:val="00D53C07"/>
    <w:rsid w:val="00D55089"/>
    <w:rsid w:val="00D63EE4"/>
    <w:rsid w:val="00D65684"/>
    <w:rsid w:val="00D75020"/>
    <w:rsid w:val="00D84725"/>
    <w:rsid w:val="00D925A6"/>
    <w:rsid w:val="00DA4E26"/>
    <w:rsid w:val="00DA5223"/>
    <w:rsid w:val="00DA76FA"/>
    <w:rsid w:val="00DB2B49"/>
    <w:rsid w:val="00DC0A56"/>
    <w:rsid w:val="00DC28FE"/>
    <w:rsid w:val="00DC290C"/>
    <w:rsid w:val="00DC33B4"/>
    <w:rsid w:val="00DC36F0"/>
    <w:rsid w:val="00DC7610"/>
    <w:rsid w:val="00DD4656"/>
    <w:rsid w:val="00DE1ABE"/>
    <w:rsid w:val="00DE1C17"/>
    <w:rsid w:val="00DE563B"/>
    <w:rsid w:val="00DE7935"/>
    <w:rsid w:val="00DF01DF"/>
    <w:rsid w:val="00DF6DC0"/>
    <w:rsid w:val="00E018FB"/>
    <w:rsid w:val="00E02813"/>
    <w:rsid w:val="00E05466"/>
    <w:rsid w:val="00E07630"/>
    <w:rsid w:val="00E21DC0"/>
    <w:rsid w:val="00E3184F"/>
    <w:rsid w:val="00E32552"/>
    <w:rsid w:val="00E344F1"/>
    <w:rsid w:val="00E4247E"/>
    <w:rsid w:val="00E54458"/>
    <w:rsid w:val="00E5518E"/>
    <w:rsid w:val="00E6763B"/>
    <w:rsid w:val="00E71493"/>
    <w:rsid w:val="00E76EF3"/>
    <w:rsid w:val="00E909CC"/>
    <w:rsid w:val="00E943F9"/>
    <w:rsid w:val="00E94601"/>
    <w:rsid w:val="00EB1CBE"/>
    <w:rsid w:val="00EB58BD"/>
    <w:rsid w:val="00EC0FFC"/>
    <w:rsid w:val="00EC47C5"/>
    <w:rsid w:val="00ED2E33"/>
    <w:rsid w:val="00ED3024"/>
    <w:rsid w:val="00ED5798"/>
    <w:rsid w:val="00ED71B6"/>
    <w:rsid w:val="00EE0542"/>
    <w:rsid w:val="00EE097D"/>
    <w:rsid w:val="00EE76DD"/>
    <w:rsid w:val="00EF0E10"/>
    <w:rsid w:val="00EF2076"/>
    <w:rsid w:val="00EF2AFB"/>
    <w:rsid w:val="00EF6F9D"/>
    <w:rsid w:val="00F13DC7"/>
    <w:rsid w:val="00F275C1"/>
    <w:rsid w:val="00F3420D"/>
    <w:rsid w:val="00F431FB"/>
    <w:rsid w:val="00F474EE"/>
    <w:rsid w:val="00F53ACB"/>
    <w:rsid w:val="00F60E46"/>
    <w:rsid w:val="00F6184E"/>
    <w:rsid w:val="00F651A6"/>
    <w:rsid w:val="00F65484"/>
    <w:rsid w:val="00F71BD0"/>
    <w:rsid w:val="00F7646A"/>
    <w:rsid w:val="00F8007E"/>
    <w:rsid w:val="00F81C8A"/>
    <w:rsid w:val="00F84805"/>
    <w:rsid w:val="00F922C1"/>
    <w:rsid w:val="00F93C13"/>
    <w:rsid w:val="00F97971"/>
    <w:rsid w:val="00FA21EA"/>
    <w:rsid w:val="00FA2B02"/>
    <w:rsid w:val="00FB1115"/>
    <w:rsid w:val="00FB4AE4"/>
    <w:rsid w:val="00FB4EE0"/>
    <w:rsid w:val="00FC43B8"/>
    <w:rsid w:val="00FD7D6E"/>
    <w:rsid w:val="00FE10B9"/>
    <w:rsid w:val="00FF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57F1B047-CD05-46A7-B0E2-09016070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490"/>
    <w:pPr>
      <w:spacing w:before="0" w:after="0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B724C"/>
    <w:pPr>
      <w:keepNext/>
      <w:keepLines/>
      <w:widowControl w:val="0"/>
      <w:spacing w:before="360" w:after="180"/>
      <w:outlineLvl w:val="0"/>
    </w:pPr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val="en-AU" w:eastAsia="en-AU"/>
    </w:rPr>
  </w:style>
  <w:style w:type="paragraph" w:styleId="Heading2">
    <w:name w:val="heading 2"/>
    <w:basedOn w:val="Normal"/>
    <w:next w:val="BodyText"/>
    <w:link w:val="Heading2Char"/>
    <w:qFormat/>
    <w:rsid w:val="00560A01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aps/>
      <w:sz w:val="32"/>
      <w:szCs w:val="28"/>
      <w:lang w:val="en-AU" w:eastAsia="en-AU"/>
    </w:rPr>
  </w:style>
  <w:style w:type="paragraph" w:styleId="Heading3">
    <w:name w:val="heading 3"/>
    <w:basedOn w:val="Normal"/>
    <w:next w:val="BodyText"/>
    <w:link w:val="Heading3Char"/>
    <w:qFormat/>
    <w:rsid w:val="00560A01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525051"/>
      <w:lang w:val="en-AU" w:eastAsia="en-AU"/>
    </w:rPr>
  </w:style>
  <w:style w:type="paragraph" w:styleId="Heading4">
    <w:name w:val="heading 4"/>
    <w:basedOn w:val="Normal"/>
    <w:next w:val="BodyText"/>
    <w:link w:val="Heading4Char"/>
    <w:rsid w:val="0082250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szCs w:val="22"/>
      <w:lang w:val="en-AU" w:eastAsia="en-AU"/>
    </w:rPr>
  </w:style>
  <w:style w:type="paragraph" w:styleId="Heading5">
    <w:name w:val="heading 5"/>
    <w:basedOn w:val="Normal"/>
    <w:next w:val="BodyText"/>
    <w:link w:val="Heading5Char"/>
    <w:rsid w:val="0082250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60A01"/>
    <w:pPr>
      <w:spacing w:before="170" w:after="170" w:line="264" w:lineRule="auto"/>
    </w:pPr>
    <w:rPr>
      <w:rFonts w:eastAsia="Times New Roman" w:cs="Times New Roman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560A01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B724C"/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60A01"/>
    <w:rPr>
      <w:rFonts w:asciiTheme="majorHAnsi" w:eastAsia="Times New Roman" w:hAnsiTheme="majorHAnsi" w:cs="Arial"/>
      <w:b/>
      <w:bCs/>
      <w:iCs/>
      <w:caps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60A01"/>
    <w:rPr>
      <w:rFonts w:asciiTheme="majorHAnsi" w:eastAsia="Times New Roman" w:hAnsiTheme="majorHAnsi" w:cs="Times New Roman"/>
      <w:b/>
      <w:bCs/>
      <w:color w:val="52505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822503"/>
    <w:rPr>
      <w:rFonts w:asciiTheme="majorHAnsi" w:eastAsia="Times New Roman" w:hAnsiTheme="majorHAnsi" w:cs="Times New Roman"/>
      <w:bCs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3A08A5"/>
    <w:pPr>
      <w:numPr>
        <w:numId w:val="17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3A08A5"/>
    <w:pPr>
      <w:numPr>
        <w:ilvl w:val="1"/>
        <w:numId w:val="17"/>
      </w:numPr>
    </w:pPr>
  </w:style>
  <w:style w:type="paragraph" w:customStyle="1" w:styleId="AltHeading3">
    <w:name w:val="Alt Heading 3"/>
    <w:basedOn w:val="Heading3"/>
    <w:next w:val="BodyText"/>
    <w:qFormat/>
    <w:rsid w:val="00822503"/>
    <w:pPr>
      <w:numPr>
        <w:ilvl w:val="2"/>
        <w:numId w:val="17"/>
      </w:numPr>
    </w:pPr>
  </w:style>
  <w:style w:type="table" w:customStyle="1" w:styleId="Maintable">
    <w:name w:val="Main table"/>
    <w:basedOn w:val="TableNormal"/>
    <w:uiPriority w:val="99"/>
    <w:rsid w:val="00E71493"/>
    <w:pPr>
      <w:spacing w:before="0" w:after="0"/>
    </w:pPr>
    <w:tblPr>
      <w:tblStyleRowBandSize w:val="1"/>
      <w:tblBorders>
        <w:top w:val="single" w:sz="4" w:space="0" w:color="auto"/>
      </w:tblBorders>
    </w:tblPr>
    <w:tblStylePr w:type="firstRow">
      <w:tblPr/>
      <w:tcPr>
        <w:tcBorders>
          <w:bottom w:val="single" w:sz="4" w:space="0" w:color="BFBFBF" w:themeColor="background1" w:themeShade="BF"/>
        </w:tcBorders>
      </w:tcPr>
    </w:tblStylePr>
    <w:tblStylePr w:type="band2Horz">
      <w:tblPr/>
      <w:tcPr>
        <w:shd w:val="clear" w:color="auto" w:fill="E3E4E5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2C5B1C"/>
    <w:pPr>
      <w:spacing w:before="360" w:after="360"/>
    </w:pPr>
    <w:rPr>
      <w:rFonts w:asciiTheme="majorHAnsi" w:eastAsiaTheme="majorEastAsia" w:hAnsiTheme="majorHAnsi" w:cstheme="majorBidi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9"/>
    <w:rsid w:val="002C5B1C"/>
    <w:rPr>
      <w:rFonts w:asciiTheme="majorHAnsi" w:eastAsiaTheme="majorEastAsia" w:hAnsiTheme="majorHAnsi" w:cstheme="majorBidi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444AE6"/>
    <w:pPr>
      <w:numPr>
        <w:ilvl w:val="1"/>
      </w:numPr>
      <w:spacing w:before="280" w:after="140"/>
    </w:pPr>
    <w:rPr>
      <w:rFonts w:asciiTheme="majorHAnsi" w:eastAsiaTheme="majorEastAsia" w:hAnsiTheme="majorHAnsi" w:cstheme="majorBidi"/>
      <w:iCs/>
      <w:sz w:val="36"/>
      <w:lang w:val="en-AU"/>
    </w:rPr>
  </w:style>
  <w:style w:type="character" w:customStyle="1" w:styleId="SubtitleChar">
    <w:name w:val="Subtitle Char"/>
    <w:basedOn w:val="DefaultParagraphFont"/>
    <w:link w:val="Subtitle"/>
    <w:uiPriority w:val="10"/>
    <w:rsid w:val="00444AE6"/>
    <w:rPr>
      <w:rFonts w:asciiTheme="majorHAnsi" w:eastAsiaTheme="majorEastAsia" w:hAnsiTheme="majorHAnsi" w:cstheme="majorBidi"/>
      <w:iCs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rFonts w:eastAsiaTheme="minorHAnsi"/>
      <w:sz w:val="17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3A08A5"/>
    <w:pPr>
      <w:tabs>
        <w:tab w:val="right" w:pos="9639"/>
      </w:tabs>
    </w:pPr>
    <w:rPr>
      <w:rFonts w:eastAsiaTheme="minorHAnsi"/>
      <w:sz w:val="18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08A5"/>
    <w:rPr>
      <w:sz w:val="18"/>
    </w:rPr>
  </w:style>
  <w:style w:type="paragraph" w:styleId="ListNumber0">
    <w:name w:val="List Number"/>
    <w:basedOn w:val="Normal"/>
    <w:qFormat/>
    <w:rsid w:val="003A08A5"/>
    <w:pPr>
      <w:numPr>
        <w:numId w:val="18"/>
      </w:numPr>
      <w:spacing w:before="120" w:after="120"/>
    </w:pPr>
    <w:rPr>
      <w:rFonts w:eastAsia="Times New Roman" w:cs="Times New Roman"/>
      <w:lang w:val="en-AU" w:eastAsia="en-AU"/>
    </w:rPr>
  </w:style>
  <w:style w:type="paragraph" w:styleId="ListBullet0">
    <w:name w:val="List Bullet"/>
    <w:basedOn w:val="Normal"/>
    <w:qFormat/>
    <w:rsid w:val="002106C4"/>
    <w:pPr>
      <w:numPr>
        <w:numId w:val="16"/>
      </w:numPr>
      <w:spacing w:before="120" w:after="120" w:line="264" w:lineRule="auto"/>
    </w:pPr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qFormat/>
    <w:rsid w:val="00BF2C53"/>
    <w:rPr>
      <w:rFonts w:asciiTheme="minorHAnsi" w:hAnsiTheme="minorHAnsi"/>
      <w:b w:val="0"/>
      <w:color w:val="E6172F" w:themeColor="accent1"/>
      <w:sz w:val="20"/>
      <w:u w:val="single"/>
    </w:rPr>
  </w:style>
  <w:style w:type="paragraph" w:styleId="TOC1">
    <w:name w:val="toc 1"/>
    <w:basedOn w:val="Normal"/>
    <w:next w:val="Normal"/>
    <w:uiPriority w:val="39"/>
    <w:rsid w:val="00DF01DF"/>
    <w:pPr>
      <w:tabs>
        <w:tab w:val="right" w:pos="9639"/>
      </w:tabs>
      <w:spacing w:before="240" w:after="120"/>
      <w:ind w:right="567"/>
    </w:pPr>
    <w:rPr>
      <w:rFonts w:eastAsiaTheme="minorHAnsi"/>
      <w:b/>
      <w:noProof/>
      <w:szCs w:val="22"/>
      <w:lang w:val="en-AU"/>
    </w:rPr>
  </w:style>
  <w:style w:type="paragraph" w:styleId="TOC2">
    <w:name w:val="toc 2"/>
    <w:basedOn w:val="Normal"/>
    <w:next w:val="Normal"/>
    <w:uiPriority w:val="39"/>
    <w:rsid w:val="00DF01DF"/>
    <w:pPr>
      <w:tabs>
        <w:tab w:val="right" w:pos="9639"/>
      </w:tabs>
      <w:spacing w:after="80"/>
      <w:ind w:right="567"/>
    </w:pPr>
    <w:rPr>
      <w:rFonts w:eastAsiaTheme="minorHAnsi"/>
      <w:noProof/>
      <w:szCs w:val="22"/>
      <w:lang w:val="en-AU"/>
    </w:rPr>
  </w:style>
  <w:style w:type="paragraph" w:styleId="TOC3">
    <w:name w:val="toc 3"/>
    <w:basedOn w:val="Normal"/>
    <w:next w:val="Normal"/>
    <w:uiPriority w:val="39"/>
    <w:rsid w:val="00DF01DF"/>
    <w:pPr>
      <w:tabs>
        <w:tab w:val="right" w:pos="9639"/>
      </w:tabs>
      <w:spacing w:after="60"/>
      <w:ind w:right="567"/>
    </w:pPr>
    <w:rPr>
      <w:rFonts w:eastAsiaTheme="minorHAnsi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BF2C53"/>
    <w:tblPr>
      <w:tblBorders>
        <w:top w:val="single" w:sz="4" w:space="0" w:color="D4CE3E" w:themeColor="accent3"/>
        <w:left w:val="single" w:sz="4" w:space="0" w:color="D4CE3E" w:themeColor="accent3"/>
        <w:bottom w:val="single" w:sz="4" w:space="0" w:color="D4CE3E" w:themeColor="accent3"/>
        <w:right w:val="single" w:sz="4" w:space="0" w:color="D4CE3E" w:themeColor="accent3"/>
        <w:insideH w:val="single" w:sz="4" w:space="0" w:color="D4CE3E" w:themeColor="accent3"/>
        <w:insideV w:val="single" w:sz="4" w:space="0" w:color="D4CE3E" w:themeColor="accent3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D4CE3E" w:themeFill="accent3"/>
      </w:tcPr>
    </w:tblStylePr>
    <w:tblStylePr w:type="lastRow">
      <w:rPr>
        <w:b/>
      </w:rPr>
      <w:tblPr/>
      <w:tcPr>
        <w:shd w:val="clear" w:color="auto" w:fill="E5E18B" w:themeFill="accent3" w:themeFillTint="99"/>
      </w:tcPr>
    </w:tblStylePr>
    <w:tblStylePr w:type="firstCol">
      <w:tblPr/>
      <w:tcPr>
        <w:tcBorders>
          <w:insideH w:val="nil"/>
        </w:tcBorders>
        <w:shd w:val="clear" w:color="auto" w:fill="D4CE3E" w:themeFill="accent3"/>
      </w:tcPr>
    </w:tblStylePr>
    <w:tblStylePr w:type="band1Vert">
      <w:tblPr/>
      <w:tcPr>
        <w:shd w:val="clear" w:color="auto" w:fill="EDEBB1" w:themeFill="accent3" w:themeFillTint="66"/>
      </w:tcPr>
    </w:tblStylePr>
    <w:tblStylePr w:type="band1Horz">
      <w:tblPr/>
      <w:tcPr>
        <w:shd w:val="clear" w:color="auto" w:fill="EDEBB1" w:themeFill="accent3" w:themeFillTint="66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E71493"/>
    <w:pPr>
      <w:spacing w:before="60" w:after="60"/>
    </w:pPr>
    <w:rPr>
      <w:rFonts w:eastAsiaTheme="minorHAnsi"/>
      <w:b/>
      <w:szCs w:val="22"/>
      <w:lang w:val="en-AU"/>
    </w:rPr>
  </w:style>
  <w:style w:type="paragraph" w:customStyle="1" w:styleId="TableText">
    <w:name w:val="Table Text"/>
    <w:basedOn w:val="Normal"/>
    <w:uiPriority w:val="4"/>
    <w:qFormat/>
    <w:rsid w:val="00E71493"/>
    <w:pPr>
      <w:spacing w:before="60" w:after="60"/>
    </w:pPr>
    <w:rPr>
      <w:rFonts w:eastAsiaTheme="minorHAnsi"/>
      <w:szCs w:val="22"/>
      <w:lang w:val="en-AU"/>
    </w:rPr>
  </w:style>
  <w:style w:type="paragraph" w:customStyle="1" w:styleId="TableBullet">
    <w:name w:val="Table Bullet"/>
    <w:basedOn w:val="TableText"/>
    <w:qFormat/>
    <w:rsid w:val="002106C4"/>
    <w:pPr>
      <w:numPr>
        <w:numId w:val="14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qFormat/>
    <w:rsid w:val="003A08A5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rsid w:val="00822503"/>
    <w:rPr>
      <w:rFonts w:asciiTheme="majorHAnsi" w:eastAsia="Times New Roman" w:hAnsiTheme="majorHAnsi" w:cs="Times New Roman"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table" w:customStyle="1" w:styleId="Table4">
    <w:name w:val="Table 4"/>
    <w:basedOn w:val="Table1"/>
    <w:uiPriority w:val="99"/>
    <w:rsid w:val="00BF2C53"/>
    <w:tblPr>
      <w:tblBorders>
        <w:top w:val="single" w:sz="4" w:space="0" w:color="A7CA63" w:themeColor="accent4"/>
        <w:left w:val="single" w:sz="4" w:space="0" w:color="A7CA63" w:themeColor="accent4"/>
        <w:bottom w:val="single" w:sz="4" w:space="0" w:color="A7CA63" w:themeColor="accent4"/>
        <w:right w:val="single" w:sz="4" w:space="0" w:color="A7CA63" w:themeColor="accent4"/>
        <w:insideH w:val="single" w:sz="4" w:space="0" w:color="A7CA63" w:themeColor="accent4"/>
        <w:insideV w:val="single" w:sz="4" w:space="0" w:color="A7CA63" w:themeColor="accent4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A7CA63" w:themeFill="accent4"/>
      </w:tcPr>
    </w:tblStylePr>
    <w:tblStylePr w:type="lastRow">
      <w:rPr>
        <w:b/>
      </w:rPr>
      <w:tblPr/>
      <w:tcPr>
        <w:shd w:val="clear" w:color="auto" w:fill="CADFA1" w:themeFill="accent4" w:themeFillTint="99"/>
      </w:tcPr>
    </w:tblStylePr>
    <w:tblStylePr w:type="firstCol">
      <w:tblPr/>
      <w:tcPr>
        <w:tcBorders>
          <w:insideH w:val="nil"/>
        </w:tcBorders>
        <w:shd w:val="clear" w:color="auto" w:fill="A7CA63" w:themeFill="accent4"/>
      </w:tcPr>
    </w:tblStylePr>
    <w:tblStylePr w:type="band1Vert">
      <w:tblPr/>
      <w:tcPr>
        <w:shd w:val="clear" w:color="auto" w:fill="DBE9C0" w:themeFill="accent4" w:themeFillTint="66"/>
      </w:tcPr>
    </w:tblStylePr>
    <w:tblStylePr w:type="band1Horz">
      <w:tblPr/>
      <w:tcPr>
        <w:shd w:val="clear" w:color="auto" w:fill="DBE9C0" w:themeFill="accent4" w:themeFillTint="66"/>
      </w:tcPr>
    </w:tblStylePr>
  </w:style>
  <w:style w:type="table" w:customStyle="1" w:styleId="Table5">
    <w:name w:val="Table 5"/>
    <w:basedOn w:val="Table1"/>
    <w:uiPriority w:val="99"/>
    <w:rsid w:val="00BF2C53"/>
    <w:tblPr>
      <w:tblBorders>
        <w:top w:val="single" w:sz="4" w:space="0" w:color="31ACAE" w:themeColor="accent5"/>
        <w:left w:val="single" w:sz="4" w:space="0" w:color="31ACAE" w:themeColor="accent5"/>
        <w:bottom w:val="single" w:sz="4" w:space="0" w:color="31ACAE" w:themeColor="accent5"/>
        <w:right w:val="single" w:sz="4" w:space="0" w:color="31ACAE" w:themeColor="accent5"/>
        <w:insideH w:val="single" w:sz="4" w:space="0" w:color="31ACAE" w:themeColor="accent5"/>
        <w:insideV w:val="single" w:sz="4" w:space="0" w:color="31ACAE" w:themeColor="accent5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1ACAE" w:themeFill="accent5"/>
      </w:tcPr>
    </w:tblStylePr>
    <w:tblStylePr w:type="lastRow">
      <w:rPr>
        <w:b/>
      </w:rPr>
      <w:tblPr/>
      <w:tcPr>
        <w:shd w:val="clear" w:color="auto" w:fill="78D7D9" w:themeFill="accent5" w:themeFillTint="99"/>
      </w:tcPr>
    </w:tblStylePr>
    <w:tblStylePr w:type="firstCol">
      <w:tblPr/>
      <w:tcPr>
        <w:tcBorders>
          <w:insideH w:val="nil"/>
        </w:tcBorders>
        <w:shd w:val="clear" w:color="auto" w:fill="31ACAE" w:themeFill="accent5"/>
      </w:tcPr>
    </w:tblStylePr>
    <w:tblStylePr w:type="band1Vert">
      <w:tblPr/>
      <w:tcPr>
        <w:shd w:val="clear" w:color="auto" w:fill="A5E4E5" w:themeFill="accent5" w:themeFillTint="66"/>
      </w:tcPr>
    </w:tblStylePr>
    <w:tblStylePr w:type="band1Horz">
      <w:tblPr/>
      <w:tcPr>
        <w:shd w:val="clear" w:color="auto" w:fill="A5E4E5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qFormat/>
    <w:rsid w:val="00E018FB"/>
  </w:style>
  <w:style w:type="paragraph" w:customStyle="1" w:styleId="FigureStyle">
    <w:name w:val="Figure Style"/>
    <w:basedOn w:val="BodyText"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rFonts w:eastAsiaTheme="minorHAnsi"/>
      <w:sz w:val="16"/>
      <w:szCs w:val="22"/>
      <w:lang w:val="en-AU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  <w:rPr>
      <w:rFonts w:eastAsiaTheme="minorHAnsi"/>
      <w:szCs w:val="22"/>
      <w:lang w:val="en-AU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rFonts w:eastAsiaTheme="minorHAnsi"/>
      <w:b/>
      <w:szCs w:val="22"/>
      <w:lang w:val="en-AU"/>
    </w:rPr>
  </w:style>
  <w:style w:type="paragraph" w:customStyle="1" w:styleId="ListAlpha0">
    <w:name w:val="List Alpha"/>
    <w:basedOn w:val="BodyText"/>
    <w:qFormat/>
    <w:rsid w:val="003A08A5"/>
    <w:pPr>
      <w:numPr>
        <w:numId w:val="19"/>
      </w:numPr>
    </w:pPr>
  </w:style>
  <w:style w:type="numbering" w:customStyle="1" w:styleId="ListAlpha">
    <w:name w:val="List_Alpha"/>
    <w:uiPriority w:val="99"/>
    <w:rsid w:val="003A08A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  <w:rPr>
      <w:rFonts w:eastAsiaTheme="minorHAnsi"/>
      <w:szCs w:val="22"/>
      <w:lang w:val="en-AU"/>
    </w:r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Table1">
    <w:name w:val="Table 1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E6172F" w:themeColor="accent1"/>
        <w:left w:val="single" w:sz="4" w:space="0" w:color="E6172F" w:themeColor="accent1"/>
        <w:bottom w:val="single" w:sz="4" w:space="0" w:color="E6172F" w:themeColor="accent1"/>
        <w:right w:val="single" w:sz="4" w:space="0" w:color="E6172F" w:themeColor="accent1"/>
        <w:insideH w:val="single" w:sz="4" w:space="0" w:color="E6172F" w:themeColor="accent1"/>
        <w:insideV w:val="single" w:sz="4" w:space="0" w:color="E6172F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6172F" w:themeFill="accent1"/>
      </w:tcPr>
    </w:tblStylePr>
    <w:tblStylePr w:type="lastRow">
      <w:rPr>
        <w:b/>
      </w:rPr>
      <w:tblPr/>
      <w:tcPr>
        <w:shd w:val="clear" w:color="auto" w:fill="F17281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E6172F" w:themeFill="accent1"/>
      </w:tcPr>
    </w:tblStylePr>
    <w:tblStylePr w:type="band1Vert">
      <w:tblPr/>
      <w:tcPr>
        <w:shd w:val="clear" w:color="auto" w:fill="F5A1AA" w:themeFill="accent1" w:themeFillTint="66"/>
      </w:tcPr>
    </w:tblStylePr>
    <w:tblStylePr w:type="band1Horz">
      <w:tblPr/>
      <w:tcPr>
        <w:shd w:val="clear" w:color="auto" w:fill="F5A1AA" w:themeFill="accent1" w:themeFillTint="66"/>
      </w:tcPr>
    </w:tblStylePr>
  </w:style>
  <w:style w:type="table" w:customStyle="1" w:styleId="Table2">
    <w:name w:val="Table 2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59595B" w:themeColor="accent2"/>
        <w:left w:val="single" w:sz="4" w:space="0" w:color="59595B" w:themeColor="accent2"/>
        <w:bottom w:val="single" w:sz="4" w:space="0" w:color="59595B" w:themeColor="accent2"/>
        <w:right w:val="single" w:sz="4" w:space="0" w:color="59595B" w:themeColor="accent2"/>
        <w:insideH w:val="single" w:sz="4" w:space="0" w:color="59595B" w:themeColor="accent2"/>
        <w:insideV w:val="single" w:sz="4" w:space="0" w:color="59595B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59595B" w:themeFill="accent2"/>
      </w:tcPr>
    </w:tblStylePr>
    <w:tblStylePr w:type="lastRow">
      <w:rPr>
        <w:b/>
      </w:rPr>
      <w:tblPr/>
      <w:tcPr>
        <w:shd w:val="clear" w:color="auto" w:fill="9A9A9D" w:themeFill="accent2" w:themeFillTint="99"/>
      </w:tcPr>
    </w:tblStylePr>
    <w:tblStylePr w:type="firstCol">
      <w:tblPr/>
      <w:tcPr>
        <w:shd w:val="clear" w:color="auto" w:fill="59595B" w:themeFill="accent2"/>
      </w:tcPr>
    </w:tblStylePr>
    <w:tblStylePr w:type="band1Vert">
      <w:tblPr/>
      <w:tcPr>
        <w:shd w:val="clear" w:color="auto" w:fill="BCBCBD" w:themeFill="accent2" w:themeFillTint="66"/>
      </w:tcPr>
    </w:tblStylePr>
    <w:tblStylePr w:type="band1Horz">
      <w:tblPr/>
      <w:tcPr>
        <w:shd w:val="clear" w:color="auto" w:fill="BCBCBD" w:themeFill="accent2" w:themeFillTint="66"/>
      </w:tcPr>
    </w:tblStylePr>
  </w:style>
  <w:style w:type="character" w:styleId="FollowedHyperlink">
    <w:name w:val="FollowedHyperlink"/>
    <w:basedOn w:val="DefaultParagraphFont"/>
    <w:uiPriority w:val="99"/>
    <w:rsid w:val="00BF2C53"/>
    <w:rPr>
      <w:rFonts w:asciiTheme="minorHAnsi" w:hAnsiTheme="minorHAnsi"/>
      <w:color w:val="E6172F" w:themeColor="accent1"/>
      <w:sz w:val="20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qFormat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Table1"/>
    <w:uiPriority w:val="99"/>
    <w:rsid w:val="00BF2C53"/>
    <w:tblPr>
      <w:tblBorders>
        <w:top w:val="single" w:sz="4" w:space="0" w:color="3A99C9" w:themeColor="accent6"/>
        <w:left w:val="single" w:sz="4" w:space="0" w:color="3A99C9" w:themeColor="accent6"/>
        <w:bottom w:val="single" w:sz="4" w:space="0" w:color="3A99C9" w:themeColor="accent6"/>
        <w:right w:val="single" w:sz="4" w:space="0" w:color="3A99C9" w:themeColor="accent6"/>
        <w:insideH w:val="single" w:sz="4" w:space="0" w:color="3A99C9" w:themeColor="accent6"/>
        <w:insideV w:val="single" w:sz="4" w:space="0" w:color="3A99C9" w:themeColor="accent6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A99C9" w:themeFill="accent6"/>
      </w:tcPr>
    </w:tblStylePr>
    <w:tblStylePr w:type="lastRow">
      <w:rPr>
        <w:b/>
      </w:rPr>
      <w:tblPr/>
      <w:tcPr>
        <w:shd w:val="clear" w:color="auto" w:fill="88C1DE" w:themeFill="accent6" w:themeFillTint="99"/>
      </w:tcPr>
    </w:tblStylePr>
    <w:tblStylePr w:type="firstCol">
      <w:tblPr/>
      <w:tcPr>
        <w:tcBorders>
          <w:insideH w:val="nil"/>
        </w:tcBorders>
        <w:shd w:val="clear" w:color="auto" w:fill="3A99C9" w:themeFill="accent6"/>
      </w:tcPr>
    </w:tblStylePr>
    <w:tblStylePr w:type="band1Vert">
      <w:tblPr/>
      <w:tcPr>
        <w:shd w:val="clear" w:color="auto" w:fill="B0D5E9" w:themeFill="accent6" w:themeFillTint="66"/>
      </w:tcPr>
    </w:tblStylePr>
    <w:tblStylePr w:type="band1Horz">
      <w:tblPr/>
      <w:tcPr>
        <w:shd w:val="clear" w:color="auto" w:fill="B0D5E9" w:themeFill="accent6" w:themeFillTint="66"/>
      </w:tcPr>
    </w:tblStylePr>
  </w:style>
  <w:style w:type="table" w:customStyle="1" w:styleId="TableBlack">
    <w:name w:val="Table Black"/>
    <w:basedOn w:val="Table1"/>
    <w:uiPriority w:val="99"/>
    <w:rsid w:val="00BF2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404040" w:themeFill="text1" w:themeFillTint="BF"/>
      </w:tcPr>
    </w:tblStylePr>
    <w:tblStylePr w:type="firstCol">
      <w:tblPr/>
      <w:tcPr>
        <w:tcBorders>
          <w:insideH w:val="nil"/>
        </w:tcBorders>
        <w:shd w:val="clear" w:color="auto" w:fill="000000" w:themeFill="text1"/>
      </w:tcPr>
    </w:tblStylePr>
    <w:tblStylePr w:type="band1Vert">
      <w:tblPr/>
      <w:tcPr>
        <w:shd w:val="clear" w:color="auto" w:fill="7F7F7F" w:themeFill="text1" w:themeFillTint="80"/>
      </w:tcPr>
    </w:tblStylePr>
    <w:tblStylePr w:type="band1Horz">
      <w:tblPr/>
      <w:tcPr>
        <w:shd w:val="clear" w:color="auto" w:fill="7F7F7F" w:themeFill="text1" w:themeFillTint="80"/>
      </w:tcPr>
    </w:tblStylePr>
  </w:style>
  <w:style w:type="table" w:customStyle="1" w:styleId="TableGrey">
    <w:name w:val="Table Grey"/>
    <w:basedOn w:val="TableBlack"/>
    <w:uiPriority w:val="99"/>
    <w:rsid w:val="00BF2C53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B2B2B2"/>
      </w:tcPr>
    </w:tblStylePr>
    <w:tblStylePr w:type="firstCol"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1Vert">
      <w:tblPr/>
      <w:tcPr>
        <w:shd w:val="clear" w:color="auto" w:fill="D1D1D1"/>
      </w:tcPr>
    </w:tblStylePr>
    <w:tblStylePr w:type="band1Horz">
      <w:tblPr/>
      <w:tcPr>
        <w:shd w:val="clear" w:color="auto" w:fill="D1D1D1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Paragraph">
    <w:name w:val="Intro Paragraph"/>
    <w:basedOn w:val="BodyText"/>
    <w:qFormat/>
    <w:rsid w:val="00560A01"/>
    <w:rPr>
      <w:b/>
    </w:rPr>
  </w:style>
  <w:style w:type="character" w:customStyle="1" w:styleId="hyperlinks">
    <w:name w:val="hyperlinks"/>
    <w:basedOn w:val="IntenseEmphasis"/>
    <w:uiPriority w:val="1"/>
    <w:qFormat/>
    <w:rsid w:val="00BE5D4E"/>
    <w:rPr>
      <w:rFonts w:ascii="HelveticaNeueLT Std Lt" w:hAnsi="HelveticaNeueLT Std Lt"/>
      <w:b w:val="0"/>
      <w:bCs/>
      <w:i w:val="0"/>
      <w:iCs/>
      <w:color w:val="E2001A"/>
      <w:sz w:val="19"/>
      <w:u w:val="single"/>
    </w:rPr>
  </w:style>
  <w:style w:type="character" w:styleId="IntenseEmphasis">
    <w:name w:val="Intense Emphasis"/>
    <w:basedOn w:val="DefaultParagraphFont"/>
    <w:uiPriority w:val="99"/>
    <w:rsid w:val="00BE5D4E"/>
    <w:rPr>
      <w:i/>
      <w:iCs/>
      <w:color w:val="E6172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0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AE8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E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70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E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E4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5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council.gov.au/workspace/uploads/files/_aca_annual_report_2015-16-58058c6e6067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traliacouncil.gov.au/workspace/uploads/files/_ar_2015-16_factsheet-58058ee0e52fe.pdf" TargetMode="External"/></Relationships>
</file>

<file path=word/theme/theme1.xml><?xml version="1.0" encoding="utf-8"?>
<a:theme xmlns:a="http://schemas.openxmlformats.org/drawingml/2006/main" name="Office Theme">
  <a:themeElements>
    <a:clrScheme name="AC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6172F"/>
      </a:accent1>
      <a:accent2>
        <a:srgbClr val="59595B"/>
      </a:accent2>
      <a:accent3>
        <a:srgbClr val="D4CE3E"/>
      </a:accent3>
      <a:accent4>
        <a:srgbClr val="A7CA63"/>
      </a:accent4>
      <a:accent5>
        <a:srgbClr val="31ACAE"/>
      </a:accent5>
      <a:accent6>
        <a:srgbClr val="3A99C9"/>
      </a:accent6>
      <a:hlink>
        <a:srgbClr val="E6172F"/>
      </a:hlink>
      <a:folHlink>
        <a:srgbClr val="E617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346F-6859-4AC6-821E-F04632D1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Murray</dc:creator>
  <cp:lastModifiedBy>Diego Cruz</cp:lastModifiedBy>
  <cp:revision>4</cp:revision>
  <cp:lastPrinted>2016-10-12T21:53:00Z</cp:lastPrinted>
  <dcterms:created xsi:type="dcterms:W3CDTF">2016-10-18T03:53:00Z</dcterms:created>
  <dcterms:modified xsi:type="dcterms:W3CDTF">2018-10-18T23:43:00Z</dcterms:modified>
</cp:coreProperties>
</file>